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A3764" w14:textId="77777777" w:rsidR="002D1015" w:rsidRPr="00885995" w:rsidRDefault="002D1015" w:rsidP="002D1015">
      <w:pPr>
        <w:pStyle w:val="CommuniquPresse"/>
      </w:pPr>
      <w:r w:rsidRPr="00885995">
        <w:t>PRESS RELEASE</w:t>
      </w:r>
    </w:p>
    <w:p w14:paraId="146CFD67" w14:textId="36AAFB78" w:rsidR="002D1015" w:rsidRPr="00DA5D4F" w:rsidRDefault="005E28A0" w:rsidP="00DA5D4F">
      <w:pPr>
        <w:spacing w:before="100" w:after="240" w:line="220" w:lineRule="exact"/>
        <w:jc w:val="center"/>
        <w:rPr>
          <w:rFonts w:ascii="Arial" w:hAnsi="Arial" w:cstheme="minorBidi"/>
          <w:color w:val="000000" w:themeColor="text1"/>
          <w:spacing w:val="16"/>
          <w:sz w:val="18"/>
          <w:lang w:val="fr-FR" w:eastAsia="fr-FR"/>
        </w:rPr>
      </w:pPr>
      <w:r>
        <w:rPr>
          <w:rFonts w:ascii="Arial" w:hAnsi="Arial" w:cstheme="minorBidi"/>
          <w:color w:val="000000" w:themeColor="text1"/>
          <w:spacing w:val="16"/>
          <w:sz w:val="18"/>
          <w:lang w:val="fr-FR" w:eastAsia="fr-FR"/>
        </w:rPr>
        <w:t xml:space="preserve">         </w:t>
      </w:r>
      <w:r w:rsidR="002D1015" w:rsidRPr="00DA5D4F">
        <w:rPr>
          <w:rFonts w:ascii="Arial" w:hAnsi="Arial" w:cstheme="minorBidi"/>
          <w:color w:val="000000" w:themeColor="text1"/>
          <w:spacing w:val="16"/>
          <w:sz w:val="18"/>
          <w:lang w:val="fr-FR" w:eastAsia="fr-FR"/>
        </w:rPr>
        <w:t>Paris-La Défense, France – May 4, 2021</w:t>
      </w:r>
    </w:p>
    <w:p w14:paraId="34420EF8" w14:textId="77777777" w:rsidR="002D1015" w:rsidRPr="00DA5D4F" w:rsidRDefault="002D1015" w:rsidP="00DA5D4F">
      <w:pPr>
        <w:spacing w:line="276" w:lineRule="auto"/>
        <w:jc w:val="center"/>
        <w:rPr>
          <w:rFonts w:ascii="Arial" w:hAnsi="Arial" w:cs="Arial"/>
          <w:b/>
          <w:bCs/>
          <w:spacing w:val="5"/>
          <w:sz w:val="24"/>
          <w:szCs w:val="32"/>
          <w:lang w:val="fr-FR"/>
        </w:rPr>
      </w:pPr>
    </w:p>
    <w:p w14:paraId="7484D6AA" w14:textId="74878411" w:rsidR="00585E2F" w:rsidRPr="00DA5D4F" w:rsidRDefault="00585E2F" w:rsidP="00585E2F">
      <w:pPr>
        <w:spacing w:after="240" w:line="276" w:lineRule="auto"/>
        <w:jc w:val="center"/>
        <w:rPr>
          <w:rFonts w:ascii="Arial" w:hAnsi="Arial" w:cs="Arial"/>
        </w:rPr>
      </w:pPr>
      <w:r w:rsidRPr="00DA5D4F">
        <w:rPr>
          <w:rFonts w:ascii="Arial" w:hAnsi="Arial" w:cs="Arial"/>
          <w:b/>
          <w:bCs/>
          <w:spacing w:val="5"/>
          <w:sz w:val="32"/>
          <w:szCs w:val="32"/>
        </w:rPr>
        <w:t xml:space="preserve">Bureau Veritas delivers on its </w:t>
      </w:r>
      <w:r w:rsidRPr="00DA5D4F">
        <w:rPr>
          <w:rFonts w:ascii="Arial" w:hAnsi="Arial" w:cs="Arial"/>
          <w:b/>
          <w:bCs/>
          <w:i/>
          <w:iCs/>
          <w:spacing w:val="5"/>
          <w:sz w:val="32"/>
          <w:szCs w:val="32"/>
        </w:rPr>
        <w:t>Supply-R</w:t>
      </w:r>
      <w:r w:rsidRPr="00DA5D4F">
        <w:rPr>
          <w:rFonts w:ascii="Arial" w:hAnsi="Arial" w:cs="Arial"/>
          <w:b/>
          <w:bCs/>
          <w:spacing w:val="5"/>
          <w:sz w:val="32"/>
          <w:szCs w:val="32"/>
        </w:rPr>
        <w:t xml:space="preserve"> supply chain resilience solution by completing its first pilot project </w:t>
      </w:r>
      <w:r w:rsidR="00700CB7">
        <w:rPr>
          <w:rFonts w:ascii="Arial" w:hAnsi="Arial" w:cs="Arial"/>
          <w:b/>
          <w:bCs/>
          <w:spacing w:val="5"/>
          <w:sz w:val="32"/>
          <w:szCs w:val="32"/>
        </w:rPr>
        <w:br/>
      </w:r>
      <w:r w:rsidRPr="00DA5D4F">
        <w:rPr>
          <w:rFonts w:ascii="Arial" w:hAnsi="Arial" w:cs="Arial"/>
          <w:b/>
          <w:bCs/>
          <w:spacing w:val="5"/>
          <w:sz w:val="32"/>
          <w:szCs w:val="32"/>
        </w:rPr>
        <w:t xml:space="preserve">with Shell </w:t>
      </w:r>
    </w:p>
    <w:p w14:paraId="272C3830" w14:textId="3FAB52C4" w:rsidR="00585E2F" w:rsidRPr="00DA5D4F" w:rsidRDefault="00585E2F" w:rsidP="00585E2F">
      <w:pPr>
        <w:spacing w:line="276" w:lineRule="auto"/>
        <w:jc w:val="center"/>
        <w:rPr>
          <w:rFonts w:ascii="Arial" w:hAnsi="Arial" w:cs="Arial"/>
        </w:rPr>
      </w:pPr>
      <w:r w:rsidRPr="00DA5D4F">
        <w:rPr>
          <w:rFonts w:ascii="Arial" w:hAnsi="Arial" w:cs="Arial"/>
          <w:b/>
          <w:bCs/>
          <w:i/>
          <w:iCs/>
        </w:rPr>
        <w:t>Supply-R</w:t>
      </w:r>
      <w:r w:rsidRPr="00DA5D4F">
        <w:rPr>
          <w:rFonts w:ascii="Arial" w:hAnsi="Arial" w:cs="Arial"/>
          <w:b/>
          <w:bCs/>
        </w:rPr>
        <w:t xml:space="preserve"> is a risk management solution enhanc</w:t>
      </w:r>
      <w:r w:rsidR="00250BF9">
        <w:rPr>
          <w:rFonts w:ascii="Arial" w:hAnsi="Arial" w:cs="Arial"/>
          <w:b/>
          <w:bCs/>
        </w:rPr>
        <w:t>ing</w:t>
      </w:r>
      <w:r w:rsidRPr="00DA5D4F">
        <w:rPr>
          <w:rFonts w:ascii="Arial" w:hAnsi="Arial" w:cs="Arial"/>
          <w:b/>
          <w:bCs/>
        </w:rPr>
        <w:t xml:space="preserve"> the responsiveness and reliability of supply chains </w:t>
      </w:r>
    </w:p>
    <w:p w14:paraId="667449CD" w14:textId="2A92ECCA" w:rsidR="00585E2F" w:rsidRPr="00DA5D4F" w:rsidRDefault="00585E2F" w:rsidP="00585E2F">
      <w:pPr>
        <w:rPr>
          <w:rFonts w:ascii="Arial" w:hAnsi="Arial" w:cs="Arial"/>
        </w:rPr>
      </w:pPr>
    </w:p>
    <w:p w14:paraId="33F647CC" w14:textId="5BF75325" w:rsidR="00585E2F" w:rsidRPr="00A14378" w:rsidRDefault="008E4A09">
      <w:pPr>
        <w:rPr>
          <w:rFonts w:ascii="Arial" w:hAnsi="Arial" w:cs="Arial"/>
          <w:sz w:val="20"/>
          <w:szCs w:val="20"/>
        </w:rPr>
      </w:pPr>
      <w:hyperlink r:id="rId10" w:history="1">
        <w:r w:rsidR="00585E2F" w:rsidRPr="00DA5D4F">
          <w:rPr>
            <w:rStyle w:val="Hyperlink"/>
            <w:rFonts w:ascii="Arial" w:hAnsi="Arial" w:cs="Arial"/>
            <w:b/>
            <w:bCs/>
            <w:color w:val="auto"/>
            <w:sz w:val="20"/>
            <w:szCs w:val="20"/>
          </w:rPr>
          <w:t>Bureau Veritas</w:t>
        </w:r>
      </w:hyperlink>
      <w:r w:rsidR="00585E2F" w:rsidRPr="00DA5D4F">
        <w:rPr>
          <w:rFonts w:ascii="Arial" w:hAnsi="Arial" w:cs="Arial"/>
          <w:b/>
          <w:bCs/>
          <w:sz w:val="20"/>
          <w:szCs w:val="20"/>
        </w:rPr>
        <w:t xml:space="preserve">, a world leader in testing, inspection and certification, and </w:t>
      </w:r>
      <w:hyperlink r:id="rId11" w:history="1">
        <w:r w:rsidR="00585E2F" w:rsidRPr="00DA5D4F">
          <w:rPr>
            <w:rStyle w:val="Hyperlink"/>
            <w:rFonts w:ascii="Arial" w:hAnsi="Arial" w:cs="Arial"/>
            <w:b/>
            <w:bCs/>
            <w:color w:val="auto"/>
            <w:sz w:val="20"/>
            <w:szCs w:val="20"/>
          </w:rPr>
          <w:t>Shell</w:t>
        </w:r>
      </w:hyperlink>
      <w:r w:rsidR="00585E2F" w:rsidRPr="00DA5D4F">
        <w:rPr>
          <w:rFonts w:ascii="Arial" w:hAnsi="Arial" w:cs="Arial"/>
          <w:b/>
          <w:bCs/>
          <w:sz w:val="20"/>
          <w:szCs w:val="20"/>
        </w:rPr>
        <w:t xml:space="preserve">, a global </w:t>
      </w:r>
      <w:r w:rsidR="00585E2F" w:rsidRPr="00A14378">
        <w:rPr>
          <w:rFonts w:ascii="Arial" w:hAnsi="Arial" w:cs="Arial"/>
          <w:b/>
          <w:bCs/>
          <w:sz w:val="20"/>
          <w:szCs w:val="20"/>
        </w:rPr>
        <w:t xml:space="preserve">group of energy and petrochemical companies, announce the successful completion of their </w:t>
      </w:r>
      <w:r w:rsidR="00585E2F" w:rsidRPr="00A14378">
        <w:rPr>
          <w:rFonts w:ascii="Arial" w:hAnsi="Arial" w:cs="Arial"/>
          <w:b/>
          <w:bCs/>
          <w:i/>
          <w:iCs/>
          <w:sz w:val="20"/>
          <w:szCs w:val="20"/>
        </w:rPr>
        <w:t>Supply-R</w:t>
      </w:r>
      <w:r w:rsidR="00585E2F" w:rsidRPr="00A14378">
        <w:rPr>
          <w:rFonts w:ascii="Arial" w:hAnsi="Arial" w:cs="Arial"/>
          <w:b/>
          <w:bCs/>
          <w:sz w:val="20"/>
          <w:szCs w:val="20"/>
        </w:rPr>
        <w:t xml:space="preserve"> pilot project, conducted during the first quarter of 202</w:t>
      </w:r>
      <w:r w:rsidR="00700CB7" w:rsidRPr="00A14378">
        <w:rPr>
          <w:rFonts w:ascii="Arial" w:hAnsi="Arial" w:cs="Arial"/>
          <w:b/>
          <w:bCs/>
          <w:sz w:val="20"/>
          <w:szCs w:val="20"/>
        </w:rPr>
        <w:t>1</w:t>
      </w:r>
      <w:r w:rsidR="00585E2F" w:rsidRPr="00A14378">
        <w:rPr>
          <w:rFonts w:ascii="Arial" w:hAnsi="Arial" w:cs="Arial"/>
          <w:b/>
          <w:bCs/>
          <w:sz w:val="20"/>
          <w:szCs w:val="20"/>
        </w:rPr>
        <w:t>.</w:t>
      </w:r>
    </w:p>
    <w:p w14:paraId="0A2D1F0D" w14:textId="77777777" w:rsidR="00585E2F" w:rsidRPr="00A14378" w:rsidRDefault="00585E2F" w:rsidP="00A14378">
      <w:pPr>
        <w:spacing w:line="280" w:lineRule="exact"/>
        <w:rPr>
          <w:rFonts w:ascii="Arial" w:hAnsi="Arial" w:cs="Arial"/>
          <w:sz w:val="20"/>
          <w:szCs w:val="20"/>
        </w:rPr>
      </w:pPr>
      <w:r w:rsidRPr="00A14378">
        <w:rPr>
          <w:rFonts w:ascii="Arial" w:hAnsi="Arial" w:cs="Arial"/>
          <w:b/>
          <w:bCs/>
          <w:sz w:val="20"/>
          <w:szCs w:val="20"/>
        </w:rPr>
        <w:t> </w:t>
      </w:r>
    </w:p>
    <w:p w14:paraId="000CE335" w14:textId="6A436966" w:rsidR="00585E2F" w:rsidRPr="00A14378" w:rsidRDefault="00585E2F" w:rsidP="00A14378">
      <w:pPr>
        <w:spacing w:line="280" w:lineRule="exact"/>
        <w:jc w:val="both"/>
        <w:rPr>
          <w:rFonts w:ascii="Arial" w:hAnsi="Arial" w:cs="Arial"/>
          <w:sz w:val="20"/>
          <w:szCs w:val="20"/>
        </w:rPr>
      </w:pPr>
      <w:bookmarkStart w:id="0" w:name="_GoBack"/>
      <w:r w:rsidRPr="00A14378">
        <w:rPr>
          <w:rFonts w:ascii="Arial" w:hAnsi="Arial" w:cs="Arial"/>
          <w:sz w:val="20"/>
          <w:szCs w:val="20"/>
        </w:rPr>
        <w:t xml:space="preserve">Developed and launched by Bureau Veritas in 2020, </w:t>
      </w:r>
      <w:r w:rsidRPr="00A14378">
        <w:rPr>
          <w:rFonts w:ascii="Arial" w:hAnsi="Arial" w:cs="Arial"/>
          <w:b/>
          <w:bCs/>
          <w:i/>
          <w:iCs/>
          <w:sz w:val="20"/>
          <w:szCs w:val="20"/>
        </w:rPr>
        <w:t>Supply-R</w:t>
      </w:r>
      <w:r w:rsidRPr="00A14378">
        <w:rPr>
          <w:rFonts w:ascii="Arial" w:hAnsi="Arial" w:cs="Arial"/>
          <w:sz w:val="20"/>
          <w:szCs w:val="20"/>
        </w:rPr>
        <w:t xml:space="preserve"> is a digital platform and supply chain risk management solution designed to support business continuity and assess resilience along the supply chain. The pilot phase will help deploy the solution step by step. It will enable Bureau Veritas to customize the solution and develop the most ergonomic dashboards, which will be </w:t>
      </w:r>
      <w:r w:rsidR="00250BF9">
        <w:rPr>
          <w:rFonts w:ascii="Arial" w:hAnsi="Arial" w:cs="Arial"/>
          <w:sz w:val="20"/>
          <w:szCs w:val="20"/>
        </w:rPr>
        <w:t>efficient both for</w:t>
      </w:r>
      <w:r w:rsidRPr="00A14378">
        <w:rPr>
          <w:rFonts w:ascii="Arial" w:hAnsi="Arial" w:cs="Arial"/>
          <w:sz w:val="20"/>
          <w:szCs w:val="20"/>
        </w:rPr>
        <w:t xml:space="preserve"> operational teams and executive management.</w:t>
      </w:r>
    </w:p>
    <w:p w14:paraId="0975258D" w14:textId="372F5827" w:rsidR="00585E2F" w:rsidRPr="00A14378" w:rsidRDefault="00585E2F" w:rsidP="00A14378">
      <w:pPr>
        <w:spacing w:line="280" w:lineRule="exact"/>
        <w:rPr>
          <w:rFonts w:ascii="Arial" w:hAnsi="Arial" w:cs="Arial"/>
          <w:sz w:val="20"/>
          <w:szCs w:val="20"/>
        </w:rPr>
      </w:pPr>
    </w:p>
    <w:p w14:paraId="6E2E35AA" w14:textId="77777777" w:rsidR="00585E2F" w:rsidRPr="00A14378" w:rsidRDefault="00585E2F" w:rsidP="00A14378">
      <w:pPr>
        <w:spacing w:after="160" w:line="280" w:lineRule="exact"/>
        <w:jc w:val="both"/>
        <w:rPr>
          <w:rFonts w:ascii="Arial" w:hAnsi="Arial" w:cs="Arial"/>
          <w:sz w:val="20"/>
          <w:szCs w:val="20"/>
        </w:rPr>
      </w:pPr>
      <w:r w:rsidRPr="00A14378">
        <w:rPr>
          <w:rFonts w:ascii="Arial" w:hAnsi="Arial" w:cs="Arial"/>
          <w:i/>
          <w:iCs/>
          <w:sz w:val="20"/>
          <w:szCs w:val="20"/>
        </w:rPr>
        <w:lastRenderedPageBreak/>
        <w:t>Supply-R</w:t>
      </w:r>
      <w:r w:rsidRPr="00A14378">
        <w:rPr>
          <w:rFonts w:ascii="Arial" w:hAnsi="Arial" w:cs="Arial"/>
          <w:sz w:val="20"/>
          <w:szCs w:val="20"/>
        </w:rPr>
        <w:t xml:space="preserve"> with Shell is the very first project. As a result of the pilot phase, Bureau Veritas has streamlined the execution process and fine-tuned the risk methodology. </w:t>
      </w:r>
    </w:p>
    <w:p w14:paraId="7DCD9F07" w14:textId="6D26477A" w:rsidR="00585E2F" w:rsidRPr="00A14378" w:rsidRDefault="00E55721" w:rsidP="00A14378">
      <w:pPr>
        <w:spacing w:line="280" w:lineRule="exact"/>
        <w:jc w:val="both"/>
        <w:rPr>
          <w:rFonts w:ascii="Arial" w:hAnsi="Arial" w:cs="Arial"/>
          <w:sz w:val="20"/>
          <w:szCs w:val="20"/>
        </w:rPr>
      </w:pPr>
      <w:r w:rsidRPr="00A14378">
        <w:rPr>
          <w:rFonts w:ascii="Arial" w:hAnsi="Arial" w:cs="Arial"/>
          <w:i/>
          <w:iCs/>
          <w:sz w:val="20"/>
          <w:szCs w:val="20"/>
        </w:rPr>
        <w:t>“</w:t>
      </w:r>
      <w:r w:rsidR="00585E2F" w:rsidRPr="00A14378">
        <w:rPr>
          <w:rFonts w:ascii="Arial" w:hAnsi="Arial" w:cs="Arial"/>
          <w:i/>
          <w:iCs/>
          <w:sz w:val="20"/>
          <w:szCs w:val="20"/>
        </w:rPr>
        <w:t>Today, companies want to consider the full picture of predictable risks related to their supply chains, taking into account the fact that external factors can create disruption. They need to build and implement new processes that can fix past problems and position their organizations to operate smoothly in the future.</w:t>
      </w:r>
      <w:r w:rsidR="00585E2F" w:rsidRPr="00A14378">
        <w:rPr>
          <w:rFonts w:ascii="Arial" w:hAnsi="Arial" w:cs="Arial"/>
          <w:sz w:val="20"/>
          <w:szCs w:val="20"/>
        </w:rPr>
        <w:t xml:space="preserve"> </w:t>
      </w:r>
      <w:r w:rsidR="00585E2F" w:rsidRPr="00A14378">
        <w:rPr>
          <w:rFonts w:ascii="Arial" w:hAnsi="Arial" w:cs="Arial"/>
          <w:i/>
          <w:iCs/>
          <w:sz w:val="20"/>
          <w:szCs w:val="20"/>
        </w:rPr>
        <w:t>With Supply-R, we are offering a customizable modular structure that addresses critical elements for a resilient supply chain, such as business continuity, technical capabilities, HSE, data integrity &amp; information security and logistic &amp; inventory practices”</w:t>
      </w:r>
      <w:r w:rsidR="00585E2F" w:rsidRPr="00A14378">
        <w:rPr>
          <w:rFonts w:ascii="Arial" w:hAnsi="Arial" w:cs="Arial"/>
          <w:b/>
          <w:bCs/>
          <w:sz w:val="20"/>
          <w:szCs w:val="20"/>
        </w:rPr>
        <w:t xml:space="preserve"> </w:t>
      </w:r>
      <w:r w:rsidR="00585E2F" w:rsidRPr="00A14378">
        <w:rPr>
          <w:rFonts w:ascii="Arial" w:hAnsi="Arial" w:cs="Arial"/>
          <w:sz w:val="20"/>
          <w:szCs w:val="20"/>
        </w:rPr>
        <w:t>says</w:t>
      </w:r>
      <w:r w:rsidR="00585E2F" w:rsidRPr="00A14378">
        <w:rPr>
          <w:rFonts w:ascii="Arial" w:hAnsi="Arial" w:cs="Arial"/>
          <w:b/>
          <w:bCs/>
          <w:sz w:val="20"/>
          <w:szCs w:val="20"/>
        </w:rPr>
        <w:t xml:space="preserve"> Bruno </w:t>
      </w:r>
      <w:proofErr w:type="spellStart"/>
      <w:r w:rsidR="00585E2F" w:rsidRPr="00A14378">
        <w:rPr>
          <w:rFonts w:ascii="Arial" w:hAnsi="Arial" w:cs="Arial"/>
          <w:b/>
          <w:bCs/>
          <w:sz w:val="20"/>
          <w:szCs w:val="20"/>
        </w:rPr>
        <w:t>Ferreyra</w:t>
      </w:r>
      <w:proofErr w:type="spellEnd"/>
      <w:r w:rsidR="00585E2F" w:rsidRPr="00A14378">
        <w:rPr>
          <w:rFonts w:ascii="Arial" w:hAnsi="Arial" w:cs="Arial"/>
          <w:b/>
          <w:bCs/>
          <w:sz w:val="20"/>
          <w:szCs w:val="20"/>
        </w:rPr>
        <w:t xml:space="preserve">, Oil &amp; Gas Global Service Line Leader at Bureau Veritas. </w:t>
      </w:r>
      <w:r w:rsidR="001B4234" w:rsidRPr="00A14378">
        <w:rPr>
          <w:rFonts w:ascii="Arial" w:hAnsi="Arial" w:cs="Arial"/>
          <w:i/>
          <w:iCs/>
          <w:sz w:val="20"/>
          <w:szCs w:val="20"/>
        </w:rPr>
        <w:t>“</w:t>
      </w:r>
      <w:r w:rsidR="00585E2F" w:rsidRPr="00A14378">
        <w:rPr>
          <w:rFonts w:ascii="Arial" w:hAnsi="Arial" w:cs="Arial"/>
          <w:i/>
          <w:iCs/>
          <w:sz w:val="20"/>
          <w:szCs w:val="20"/>
        </w:rPr>
        <w:t>We are very happy to have completed our very first pilot project with Shell with a constructive and collaborative approach that has confirmed the potential of our solution.”</w:t>
      </w:r>
    </w:p>
    <w:p w14:paraId="545AC94D" w14:textId="77777777" w:rsidR="00585E2F" w:rsidRPr="00A14378" w:rsidRDefault="00585E2F" w:rsidP="00A14378">
      <w:pPr>
        <w:spacing w:line="280" w:lineRule="exact"/>
        <w:rPr>
          <w:rFonts w:ascii="Arial" w:hAnsi="Arial" w:cs="Arial"/>
          <w:sz w:val="20"/>
          <w:szCs w:val="20"/>
        </w:rPr>
      </w:pPr>
      <w:r w:rsidRPr="00A14378">
        <w:rPr>
          <w:rFonts w:ascii="Arial" w:hAnsi="Arial" w:cs="Arial"/>
          <w:i/>
          <w:iCs/>
          <w:sz w:val="20"/>
          <w:szCs w:val="20"/>
        </w:rPr>
        <w:t> </w:t>
      </w:r>
    </w:p>
    <w:p w14:paraId="39E96F42" w14:textId="246AFF21" w:rsidR="00585E2F" w:rsidRPr="00A14378" w:rsidRDefault="00585E2F" w:rsidP="00A14378">
      <w:pPr>
        <w:autoSpaceDE w:val="0"/>
        <w:autoSpaceDN w:val="0"/>
        <w:spacing w:line="280" w:lineRule="exact"/>
        <w:jc w:val="both"/>
        <w:rPr>
          <w:rFonts w:ascii="Arial" w:hAnsi="Arial" w:cs="Arial"/>
          <w:sz w:val="20"/>
          <w:szCs w:val="20"/>
        </w:rPr>
      </w:pPr>
      <w:r w:rsidRPr="00A14378">
        <w:rPr>
          <w:rFonts w:ascii="Arial" w:hAnsi="Arial" w:cs="Arial"/>
          <w:sz w:val="20"/>
          <w:szCs w:val="20"/>
        </w:rPr>
        <w:t xml:space="preserve">The pilot performed with Shell resulted in defining the company’s specific risk profile and audit checklist. Bureau Veritas conducted independent on-site verification at factories in different countries across </w:t>
      </w:r>
      <w:r w:rsidR="000A04BA" w:rsidRPr="00A14378">
        <w:rPr>
          <w:rFonts w:ascii="Arial" w:hAnsi="Arial" w:cs="Arial"/>
          <w:sz w:val="20"/>
          <w:szCs w:val="20"/>
        </w:rPr>
        <w:t>several</w:t>
      </w:r>
      <w:r w:rsidRPr="00A14378">
        <w:rPr>
          <w:rFonts w:ascii="Arial" w:hAnsi="Arial" w:cs="Arial"/>
          <w:sz w:val="20"/>
          <w:szCs w:val="20"/>
        </w:rPr>
        <w:t xml:space="preserve"> product lines supplied to Shell. A </w:t>
      </w:r>
      <w:r w:rsidR="000A04BA" w:rsidRPr="00A14378">
        <w:rPr>
          <w:rFonts w:ascii="Arial" w:hAnsi="Arial" w:cs="Arial"/>
          <w:sz w:val="20"/>
          <w:szCs w:val="20"/>
        </w:rPr>
        <w:t xml:space="preserve">large number of </w:t>
      </w:r>
      <w:r w:rsidRPr="00A14378">
        <w:rPr>
          <w:rFonts w:ascii="Arial" w:hAnsi="Arial" w:cs="Arial"/>
          <w:sz w:val="20"/>
          <w:szCs w:val="20"/>
        </w:rPr>
        <w:t xml:space="preserve">audits and corresponding reports were performed in a record time. The pilot resulted in a tailored risk index and an online dashboard to visualize the risk profiles of each supplier and provide an overall rating via a resilience index. </w:t>
      </w:r>
    </w:p>
    <w:p w14:paraId="4B5DFA1D" w14:textId="77777777" w:rsidR="00585E2F" w:rsidRPr="00A14378" w:rsidRDefault="00585E2F" w:rsidP="00A14378">
      <w:pPr>
        <w:autoSpaceDE w:val="0"/>
        <w:autoSpaceDN w:val="0"/>
        <w:spacing w:line="280" w:lineRule="exact"/>
        <w:rPr>
          <w:rFonts w:ascii="Arial" w:hAnsi="Arial" w:cs="Arial"/>
          <w:sz w:val="20"/>
          <w:szCs w:val="20"/>
        </w:rPr>
      </w:pPr>
      <w:r w:rsidRPr="00A14378">
        <w:rPr>
          <w:rFonts w:ascii="Arial" w:hAnsi="Arial" w:cs="Arial"/>
          <w:sz w:val="20"/>
          <w:szCs w:val="20"/>
        </w:rPr>
        <w:t> </w:t>
      </w:r>
    </w:p>
    <w:p w14:paraId="03F9E319" w14:textId="6548BADE" w:rsidR="00FA3987" w:rsidRDefault="00585E2F" w:rsidP="00A14378">
      <w:pPr>
        <w:autoSpaceDE w:val="0"/>
        <w:autoSpaceDN w:val="0"/>
        <w:spacing w:line="280" w:lineRule="exact"/>
        <w:jc w:val="both"/>
        <w:rPr>
          <w:rFonts w:ascii="Arial" w:hAnsi="Arial" w:cs="Arial"/>
          <w:i/>
          <w:iCs/>
          <w:sz w:val="20"/>
          <w:szCs w:val="20"/>
        </w:rPr>
      </w:pPr>
      <w:r w:rsidRPr="00A14378">
        <w:rPr>
          <w:rFonts w:ascii="Arial" w:hAnsi="Arial" w:cs="Arial"/>
          <w:i/>
          <w:iCs/>
          <w:sz w:val="20"/>
          <w:szCs w:val="20"/>
        </w:rPr>
        <w:t>“Our existing assets today and our projects that build tomorrow, all require a supply chain that can deliver, safely and competitively. At Shell, by leveraging digitalization of processes across our worldwide operations and</w:t>
      </w:r>
      <w:r w:rsidRPr="00A14378">
        <w:rPr>
          <w:rFonts w:ascii="Arial" w:hAnsi="Arial" w:cs="Arial"/>
          <w:sz w:val="20"/>
          <w:szCs w:val="20"/>
        </w:rPr>
        <w:t xml:space="preserve"> </w:t>
      </w:r>
      <w:r w:rsidRPr="00A14378">
        <w:rPr>
          <w:rFonts w:ascii="Arial" w:hAnsi="Arial" w:cs="Arial"/>
          <w:i/>
          <w:iCs/>
          <w:sz w:val="20"/>
          <w:szCs w:val="20"/>
        </w:rPr>
        <w:t>using a holistic methodology, we can optimize risk management processes and manage our supply chain at a global level”</w:t>
      </w:r>
      <w:r w:rsidRPr="00A14378">
        <w:rPr>
          <w:rFonts w:ascii="Arial" w:hAnsi="Arial" w:cs="Arial"/>
          <w:sz w:val="20"/>
          <w:szCs w:val="20"/>
        </w:rPr>
        <w:t xml:space="preserve"> </w:t>
      </w:r>
      <w:r w:rsidRPr="00A14378">
        <w:rPr>
          <w:rFonts w:ascii="Arial" w:hAnsi="Arial" w:cs="Arial"/>
          <w:i/>
          <w:iCs/>
          <w:sz w:val="20"/>
          <w:szCs w:val="20"/>
        </w:rPr>
        <w:t xml:space="preserve">adds </w:t>
      </w:r>
      <w:r w:rsidRPr="00A14378">
        <w:rPr>
          <w:rFonts w:ascii="Arial" w:hAnsi="Arial" w:cs="Arial"/>
          <w:b/>
          <w:bCs/>
          <w:sz w:val="20"/>
          <w:szCs w:val="20"/>
        </w:rPr>
        <w:t xml:space="preserve">James </w:t>
      </w:r>
      <w:proofErr w:type="spellStart"/>
      <w:r w:rsidRPr="00A14378">
        <w:rPr>
          <w:rFonts w:ascii="Arial" w:hAnsi="Arial" w:cs="Arial"/>
          <w:b/>
          <w:bCs/>
          <w:sz w:val="20"/>
          <w:szCs w:val="20"/>
        </w:rPr>
        <w:t>Haug</w:t>
      </w:r>
      <w:proofErr w:type="spellEnd"/>
      <w:r w:rsidRPr="00A14378">
        <w:rPr>
          <w:rFonts w:ascii="Arial" w:hAnsi="Arial" w:cs="Arial"/>
          <w:b/>
          <w:bCs/>
          <w:sz w:val="20"/>
          <w:szCs w:val="20"/>
        </w:rPr>
        <w:t>, General Manager of Systems Engineering and Global Head of Engineering Management &amp; Quality at Shell</w:t>
      </w:r>
      <w:r w:rsidRPr="00A14378">
        <w:rPr>
          <w:rFonts w:ascii="Arial" w:hAnsi="Arial" w:cs="Arial"/>
          <w:i/>
          <w:iCs/>
          <w:sz w:val="20"/>
          <w:szCs w:val="20"/>
        </w:rPr>
        <w:t>.  “Our longstanding collaboration</w:t>
      </w:r>
      <w:r w:rsidRPr="00A14378">
        <w:rPr>
          <w:rFonts w:ascii="Arial" w:hAnsi="Arial" w:cs="Arial"/>
          <w:i/>
          <w:sz w:val="20"/>
          <w:szCs w:val="20"/>
        </w:rPr>
        <w:t xml:space="preserve"> with </w:t>
      </w:r>
      <w:r w:rsidRPr="00A14378">
        <w:rPr>
          <w:rFonts w:ascii="Arial" w:hAnsi="Arial" w:cs="Arial"/>
          <w:i/>
          <w:iCs/>
          <w:sz w:val="20"/>
          <w:szCs w:val="20"/>
        </w:rPr>
        <w:t>Bureau Veritas helped test their model in real conditions, by auditing and scoring selected key suppliers. This process enabled us to quickly obtain a customized risk assessment sample</w:t>
      </w:r>
      <w:r w:rsidRPr="00A14378">
        <w:rPr>
          <w:rFonts w:ascii="Arial" w:hAnsi="Arial" w:cs="Arial"/>
          <w:sz w:val="20"/>
          <w:szCs w:val="20"/>
        </w:rPr>
        <w:t xml:space="preserve"> </w:t>
      </w:r>
      <w:r w:rsidRPr="00A14378">
        <w:rPr>
          <w:rFonts w:ascii="Arial" w:hAnsi="Arial" w:cs="Arial"/>
          <w:i/>
          <w:iCs/>
          <w:sz w:val="20"/>
          <w:szCs w:val="20"/>
        </w:rPr>
        <w:t>based on</w:t>
      </w:r>
      <w:r w:rsidR="00FA3987">
        <w:rPr>
          <w:rFonts w:ascii="Arial" w:hAnsi="Arial" w:cs="Arial"/>
          <w:i/>
          <w:iCs/>
          <w:sz w:val="20"/>
          <w:szCs w:val="20"/>
        </w:rPr>
        <w:t xml:space="preserve"> </w:t>
      </w:r>
      <w:r w:rsidRPr="00A14378">
        <w:rPr>
          <w:rFonts w:ascii="Arial" w:hAnsi="Arial" w:cs="Arial"/>
          <w:i/>
          <w:iCs/>
          <w:sz w:val="20"/>
          <w:szCs w:val="20"/>
        </w:rPr>
        <w:t xml:space="preserve">Bureau Veritas’ risk-based </w:t>
      </w:r>
      <w:r w:rsidR="00B634FF">
        <w:rPr>
          <w:rFonts w:ascii="Arial" w:hAnsi="Arial" w:cs="Arial"/>
          <w:i/>
          <w:iCs/>
          <w:sz w:val="20"/>
          <w:szCs w:val="20"/>
        </w:rPr>
        <w:br/>
      </w:r>
    </w:p>
    <w:p w14:paraId="6F50FAC8" w14:textId="140AF8DD" w:rsidR="00585E2F" w:rsidRPr="00A14378" w:rsidRDefault="00585E2F" w:rsidP="00A14378">
      <w:pPr>
        <w:autoSpaceDE w:val="0"/>
        <w:autoSpaceDN w:val="0"/>
        <w:spacing w:line="280" w:lineRule="exact"/>
        <w:jc w:val="both"/>
        <w:rPr>
          <w:rFonts w:ascii="Arial" w:hAnsi="Arial" w:cs="Arial"/>
          <w:sz w:val="20"/>
          <w:szCs w:val="20"/>
        </w:rPr>
      </w:pPr>
      <w:proofErr w:type="gramStart"/>
      <w:r w:rsidRPr="00A14378">
        <w:rPr>
          <w:rFonts w:ascii="Arial" w:hAnsi="Arial" w:cs="Arial"/>
          <w:i/>
          <w:iCs/>
          <w:sz w:val="20"/>
          <w:szCs w:val="20"/>
        </w:rPr>
        <w:lastRenderedPageBreak/>
        <w:t>methodology</w:t>
      </w:r>
      <w:proofErr w:type="gramEnd"/>
      <w:r w:rsidRPr="00A14378">
        <w:rPr>
          <w:rFonts w:ascii="Arial" w:hAnsi="Arial" w:cs="Arial"/>
          <w:i/>
          <w:iCs/>
          <w:sz w:val="20"/>
          <w:szCs w:val="20"/>
        </w:rPr>
        <w:t xml:space="preserve"> and field data collected independently. Overall, our suppliers’ performance is satisfactory and Supply-R uncovered new areas for us to continually improve in conjunction with our supply chain partners.  </w:t>
      </w:r>
      <w:r w:rsidRPr="00A14378">
        <w:rPr>
          <w:rFonts w:ascii="Arial" w:hAnsi="Arial" w:cs="Arial"/>
          <w:i/>
          <w:iCs/>
          <w:sz w:val="20"/>
          <w:szCs w:val="20"/>
          <w:lang w:eastAsia="zh-CN"/>
        </w:rPr>
        <w:t xml:space="preserve">The Supply-R dashboard is intuitive and complete, and can enable </w:t>
      </w:r>
      <w:r w:rsidR="00C875CB">
        <w:rPr>
          <w:rFonts w:ascii="Arial" w:hAnsi="Arial" w:cs="Arial"/>
          <w:i/>
          <w:iCs/>
          <w:sz w:val="20"/>
          <w:szCs w:val="20"/>
          <w:lang w:eastAsia="zh-CN"/>
        </w:rPr>
        <w:t>deep dives</w:t>
      </w:r>
      <w:r w:rsidRPr="00A14378">
        <w:rPr>
          <w:rFonts w:ascii="Arial" w:hAnsi="Arial" w:cs="Arial"/>
          <w:i/>
          <w:iCs/>
          <w:sz w:val="20"/>
          <w:szCs w:val="20"/>
          <w:lang w:eastAsia="zh-CN"/>
        </w:rPr>
        <w:t xml:space="preserve"> into specific areas and findings.  This tool is a good solution to our challenge of managing an increasing number of suppliers. ”</w:t>
      </w:r>
    </w:p>
    <w:p w14:paraId="10B1B91B" w14:textId="77777777" w:rsidR="00585E2F" w:rsidRPr="00A14378" w:rsidRDefault="00585E2F" w:rsidP="00A14378">
      <w:pPr>
        <w:autoSpaceDE w:val="0"/>
        <w:autoSpaceDN w:val="0"/>
        <w:spacing w:line="280" w:lineRule="exact"/>
        <w:rPr>
          <w:rFonts w:ascii="Arial" w:hAnsi="Arial" w:cs="Arial"/>
          <w:sz w:val="20"/>
          <w:szCs w:val="20"/>
        </w:rPr>
      </w:pPr>
      <w:r w:rsidRPr="00A14378">
        <w:rPr>
          <w:rFonts w:ascii="Arial" w:hAnsi="Arial" w:cs="Arial"/>
          <w:i/>
          <w:iCs/>
          <w:sz w:val="20"/>
          <w:szCs w:val="20"/>
          <w:lang w:eastAsia="zh-CN"/>
        </w:rPr>
        <w:t> </w:t>
      </w:r>
    </w:p>
    <w:p w14:paraId="0D16EA66" w14:textId="654B77CB" w:rsidR="00585E2F" w:rsidRPr="00A14378" w:rsidRDefault="008E4A09" w:rsidP="00A14378">
      <w:pPr>
        <w:spacing w:line="280" w:lineRule="exact"/>
        <w:jc w:val="both"/>
        <w:rPr>
          <w:rFonts w:ascii="Arial" w:hAnsi="Arial" w:cs="Arial"/>
          <w:sz w:val="20"/>
          <w:szCs w:val="20"/>
        </w:rPr>
      </w:pPr>
      <w:hyperlink r:id="rId12" w:history="1">
        <w:r w:rsidR="00585E2F" w:rsidRPr="00FA3987">
          <w:rPr>
            <w:rStyle w:val="Hyperlink"/>
            <w:rFonts w:ascii="Arial" w:hAnsi="Arial" w:cs="Arial"/>
            <w:i/>
            <w:color w:val="auto"/>
            <w:sz w:val="20"/>
            <w:szCs w:val="20"/>
          </w:rPr>
          <w:t>Supply-R</w:t>
        </w:r>
      </w:hyperlink>
      <w:r w:rsidR="00585E2F" w:rsidRPr="00A14378">
        <w:rPr>
          <w:rFonts w:ascii="Arial" w:hAnsi="Arial" w:cs="Arial"/>
          <w:i/>
          <w:sz w:val="20"/>
          <w:szCs w:val="20"/>
        </w:rPr>
        <w:t xml:space="preserve"> </w:t>
      </w:r>
      <w:r w:rsidR="00585E2F" w:rsidRPr="00A14378">
        <w:rPr>
          <w:rFonts w:ascii="Arial" w:hAnsi="Arial" w:cs="Arial"/>
          <w:sz w:val="20"/>
          <w:szCs w:val="20"/>
        </w:rPr>
        <w:t>is a digital platform and supply chain risk management solution, which enables companies to assess if their supply chains are agile and resilient enough to cope with major disruptions and improve their resilience. This solution helps protect business continuity, by mapping out companies’ supply chains in order to give them complete control over production and enhance the responsiveness and reliability of their procurement sources. It supports risk management processes associated with large portfolios of suppliers spread across different geographies. It brings together a customized risk assessment of the supply chain, based on field data collected from independent on-site verification of critical suppliers. All information is collected and consolidated using a digital platform, enabling full visibility, at the level of granularity required to support better business decisions and minimize the risk of shortage.</w:t>
      </w:r>
    </w:p>
    <w:p w14:paraId="566ED5A1" w14:textId="77777777" w:rsidR="000846DD" w:rsidRPr="00A14378" w:rsidRDefault="000846DD" w:rsidP="00A14378">
      <w:pPr>
        <w:autoSpaceDE w:val="0"/>
        <w:autoSpaceDN w:val="0"/>
        <w:spacing w:line="280" w:lineRule="exact"/>
        <w:rPr>
          <w:rFonts w:ascii="Arial" w:hAnsi="Arial" w:cs="Arial"/>
          <w:sz w:val="20"/>
        </w:rPr>
      </w:pPr>
    </w:p>
    <w:p w14:paraId="432AF743" w14:textId="5CE2A5B3" w:rsidR="00585E2F" w:rsidRPr="00A14378" w:rsidRDefault="00585E2F" w:rsidP="00585E2F">
      <w:pPr>
        <w:autoSpaceDE w:val="0"/>
        <w:autoSpaceDN w:val="0"/>
        <w:rPr>
          <w:rFonts w:ascii="Arial" w:hAnsi="Arial" w:cs="Arial"/>
          <w:sz w:val="20"/>
        </w:rPr>
      </w:pPr>
    </w:p>
    <w:p w14:paraId="625CA59F" w14:textId="77777777" w:rsidR="00585E2F" w:rsidRPr="00A14378" w:rsidRDefault="00585E2F" w:rsidP="00A14378">
      <w:pPr>
        <w:pStyle w:val="Heading3"/>
        <w:keepLines/>
        <w:spacing w:after="100"/>
        <w:ind w:left="0"/>
        <w:rPr>
          <w:rFonts w:ascii="Arial" w:eastAsiaTheme="majorEastAsia" w:hAnsi="Arial" w:cs="Arial"/>
          <w:b/>
          <w:color w:val="706E61"/>
          <w:szCs w:val="24"/>
        </w:rPr>
      </w:pPr>
      <w:r w:rsidRPr="00A14378">
        <w:rPr>
          <w:rFonts w:ascii="Arial" w:eastAsiaTheme="majorEastAsia" w:hAnsi="Arial" w:cs="Arial"/>
          <w:b/>
          <w:color w:val="706E61"/>
          <w:szCs w:val="24"/>
        </w:rPr>
        <w:t xml:space="preserve">About Bureau Veritas </w:t>
      </w:r>
    </w:p>
    <w:p w14:paraId="174AAE43" w14:textId="77777777" w:rsidR="00585E2F" w:rsidRPr="00A14378" w:rsidRDefault="00585E2F" w:rsidP="00A14378">
      <w:pPr>
        <w:pStyle w:val="Heading3"/>
        <w:keepLines/>
        <w:spacing w:line="240" w:lineRule="exact"/>
        <w:ind w:left="0"/>
        <w:rPr>
          <w:rFonts w:ascii="Arial" w:hAnsi="Arial" w:cs="Arial"/>
          <w:color w:val="706E61"/>
        </w:rPr>
      </w:pPr>
      <w:r w:rsidRPr="00A14378">
        <w:rPr>
          <w:rFonts w:ascii="Arial" w:hAnsi="Arial" w:cs="Arial"/>
          <w:color w:val="706E61"/>
          <w:sz w:val="18"/>
          <w:szCs w:val="18"/>
        </w:rPr>
        <w:t>Bureau Veritas is a world leader in laboratory testing, inspection and certification services. Created in 1828, the Group has 75,000 employees located in more than 1,600 offices and laboratories around the globe. Bureau Veritas helps its clients improve their performance by offering services and innovative solutions, in order to ensure that their assets, products, infrastructure and processes meet standards and regulations in terms of quality, health and safety, environmental protection and social responsibility.</w:t>
      </w:r>
    </w:p>
    <w:p w14:paraId="270C1097" w14:textId="77777777" w:rsidR="00585E2F" w:rsidRPr="00A14378" w:rsidRDefault="00585E2F" w:rsidP="00A14378">
      <w:pPr>
        <w:pStyle w:val="BV-Texte"/>
        <w:ind w:left="0"/>
        <w:rPr>
          <w:rFonts w:ascii="Arial" w:hAnsi="Arial" w:cs="Arial"/>
          <w:color w:val="706E61"/>
        </w:rPr>
      </w:pPr>
      <w:r w:rsidRPr="00A14378">
        <w:rPr>
          <w:rFonts w:ascii="Arial" w:hAnsi="Arial" w:cs="Arial"/>
          <w:color w:val="706E61"/>
        </w:rPr>
        <w:t>Bureau Veritas is listed on Euronext Paris and belongs to the Next 20 index.</w:t>
      </w:r>
    </w:p>
    <w:p w14:paraId="14E538F0" w14:textId="77777777" w:rsidR="00585E2F" w:rsidRPr="00A14378" w:rsidRDefault="00585E2F" w:rsidP="00A14378">
      <w:pPr>
        <w:pStyle w:val="BV-Texte"/>
        <w:ind w:left="0"/>
        <w:rPr>
          <w:rFonts w:ascii="Arial" w:hAnsi="Arial" w:cs="Arial"/>
          <w:color w:val="706E61"/>
        </w:rPr>
      </w:pPr>
      <w:r w:rsidRPr="00A14378">
        <w:rPr>
          <w:rFonts w:ascii="Arial" w:hAnsi="Arial" w:cs="Arial"/>
          <w:color w:val="706E61"/>
          <w:spacing w:val="-6"/>
        </w:rPr>
        <w:t xml:space="preserve">Compartment A, ISIN code FR 0006174348, stock symbol: BVI. </w:t>
      </w:r>
    </w:p>
    <w:p w14:paraId="38C61EFD" w14:textId="1D38A032" w:rsidR="00585E2F" w:rsidRPr="00A14378" w:rsidRDefault="00585E2F" w:rsidP="00A14378">
      <w:pPr>
        <w:pStyle w:val="BV-Texte"/>
        <w:ind w:left="0"/>
        <w:rPr>
          <w:rFonts w:ascii="Arial" w:hAnsi="Arial" w:cs="Arial"/>
          <w:color w:val="706E61"/>
        </w:rPr>
      </w:pPr>
      <w:r w:rsidRPr="00A14378">
        <w:rPr>
          <w:rFonts w:ascii="Arial" w:hAnsi="Arial" w:cs="Arial"/>
          <w:color w:val="706E61"/>
        </w:rPr>
        <w:t xml:space="preserve">For more information, visit </w:t>
      </w:r>
      <w:hyperlink r:id="rId13" w:history="1">
        <w:r w:rsidRPr="00A14378">
          <w:rPr>
            <w:rStyle w:val="Hyperlink"/>
            <w:rFonts w:ascii="Arial" w:hAnsi="Arial" w:cs="Arial"/>
            <w:color w:val="706E61"/>
          </w:rPr>
          <w:t>www.bureauveritas.com</w:t>
        </w:r>
      </w:hyperlink>
      <w:r w:rsidRPr="00A14378">
        <w:rPr>
          <w:rFonts w:ascii="Arial" w:hAnsi="Arial" w:cs="Arial"/>
          <w:color w:val="706E61"/>
        </w:rPr>
        <w:t xml:space="preserve">, and follow us on </w:t>
      </w:r>
      <w:hyperlink r:id="rId14" w:history="1">
        <w:r w:rsidRPr="00A14378">
          <w:rPr>
            <w:rStyle w:val="Hyperlink"/>
            <w:rFonts w:ascii="Arial" w:hAnsi="Arial" w:cs="Arial"/>
            <w:color w:val="706E61"/>
          </w:rPr>
          <w:t>Twitter</w:t>
        </w:r>
      </w:hyperlink>
      <w:r w:rsidRPr="00A14378">
        <w:rPr>
          <w:rFonts w:ascii="Arial" w:hAnsi="Arial" w:cs="Arial"/>
          <w:color w:val="706E61"/>
        </w:rPr>
        <w:t xml:space="preserve"> (@</w:t>
      </w:r>
      <w:proofErr w:type="spellStart"/>
      <w:r w:rsidRPr="00A14378">
        <w:rPr>
          <w:rFonts w:ascii="Arial" w:hAnsi="Arial" w:cs="Arial"/>
          <w:color w:val="706E61"/>
        </w:rPr>
        <w:t>bureauveritas</w:t>
      </w:r>
      <w:proofErr w:type="spellEnd"/>
      <w:r w:rsidRPr="00A14378">
        <w:rPr>
          <w:rFonts w:ascii="Arial" w:hAnsi="Arial" w:cs="Arial"/>
          <w:color w:val="706E61"/>
        </w:rPr>
        <w:t xml:space="preserve">) and </w:t>
      </w:r>
      <w:hyperlink r:id="rId15" w:history="1">
        <w:r w:rsidRPr="00A14378">
          <w:rPr>
            <w:rStyle w:val="Hyperlink"/>
            <w:rFonts w:ascii="Arial" w:hAnsi="Arial" w:cs="Arial"/>
            <w:color w:val="706E61"/>
          </w:rPr>
          <w:t>LinkedIn</w:t>
        </w:r>
      </w:hyperlink>
      <w:r w:rsidRPr="00A14378">
        <w:rPr>
          <w:rFonts w:ascii="Arial" w:hAnsi="Arial" w:cs="Arial"/>
          <w:color w:val="706E61"/>
        </w:rPr>
        <w:t>.</w:t>
      </w:r>
    </w:p>
    <w:p w14:paraId="3C128106" w14:textId="77777777" w:rsidR="00585E2F" w:rsidRDefault="00585E2F" w:rsidP="00A14378">
      <w:pPr>
        <w:pStyle w:val="BV-Texte"/>
        <w:ind w:left="0"/>
        <w:rPr>
          <w:rFonts w:ascii="Arial" w:hAnsi="Arial" w:cs="Arial"/>
          <w:color w:val="706E61"/>
        </w:rPr>
      </w:pPr>
      <w:r w:rsidRPr="00A14378">
        <w:rPr>
          <w:rFonts w:ascii="Arial" w:hAnsi="Arial" w:cs="Arial"/>
          <w:color w:val="706E61"/>
        </w:rPr>
        <w:t> </w:t>
      </w:r>
    </w:p>
    <w:p w14:paraId="3235CC5D" w14:textId="77777777" w:rsidR="00B634FF" w:rsidRPr="00A14378" w:rsidRDefault="00B634FF" w:rsidP="00A14378">
      <w:pPr>
        <w:pStyle w:val="BV-Texte"/>
        <w:ind w:left="0"/>
        <w:rPr>
          <w:rFonts w:ascii="Arial" w:hAnsi="Arial" w:cs="Arial"/>
          <w:color w:val="706E61"/>
        </w:rPr>
      </w:pPr>
    </w:p>
    <w:p w14:paraId="2CEC8591" w14:textId="77777777" w:rsidR="00585E2F" w:rsidRPr="00A14378" w:rsidRDefault="00585E2F" w:rsidP="00A14378">
      <w:pPr>
        <w:pStyle w:val="Heading3"/>
        <w:spacing w:after="100"/>
        <w:ind w:left="0"/>
        <w:rPr>
          <w:rFonts w:ascii="Arial" w:eastAsia="Times New Roman" w:hAnsi="Arial" w:cs="Arial"/>
          <w:b/>
          <w:bCs/>
          <w:color w:val="706E61"/>
        </w:rPr>
      </w:pPr>
      <w:r w:rsidRPr="00A14378">
        <w:rPr>
          <w:rFonts w:ascii="Arial" w:eastAsia="Times New Roman" w:hAnsi="Arial" w:cs="Arial"/>
          <w:b/>
          <w:bCs/>
          <w:color w:val="706E61"/>
        </w:rPr>
        <w:lastRenderedPageBreak/>
        <w:t xml:space="preserve">About Shell </w:t>
      </w:r>
    </w:p>
    <w:p w14:paraId="08CCE2F9" w14:textId="50A077A2" w:rsidR="00585E2F" w:rsidRPr="00A14378" w:rsidRDefault="00585E2F" w:rsidP="00A14378">
      <w:pPr>
        <w:pStyle w:val="BV-Texte"/>
        <w:ind w:left="0"/>
        <w:rPr>
          <w:rFonts w:ascii="Arial" w:hAnsi="Arial" w:cs="Arial"/>
          <w:color w:val="706E61"/>
        </w:rPr>
      </w:pPr>
      <w:r w:rsidRPr="005E28A0">
        <w:rPr>
          <w:rFonts w:ascii="Arial" w:hAnsi="Arial" w:cs="Arial"/>
          <w:color w:val="706E61"/>
        </w:rPr>
        <w:t>Royal Dutch Shell plc is incorporated in England and Wales, has its headquarters in The Hague and is listed on the London, Amsterdam, and New York stock exchanges. Shell companies have operations in more than 70 countries and territories with businesses including oil and gas exploration and production; production and marketing of liquefied natural gas and gas to liquids; manufacturing, marketing and shipping of oil products and chemicals and renewable energy projects. For further information, visit </w:t>
      </w:r>
      <w:hyperlink r:id="rId16" w:history="1">
        <w:r w:rsidRPr="005E28A0">
          <w:rPr>
            <w:rStyle w:val="Hyperlink"/>
            <w:rFonts w:ascii="Arial" w:hAnsi="Arial" w:cs="Arial"/>
            <w:color w:val="706E61"/>
          </w:rPr>
          <w:t>www.shell.com</w:t>
        </w:r>
      </w:hyperlink>
      <w:r w:rsidRPr="005E28A0">
        <w:rPr>
          <w:rFonts w:ascii="Arial" w:hAnsi="Arial" w:cs="Arial"/>
          <w:color w:val="706E61"/>
        </w:rPr>
        <w:t>.</w:t>
      </w:r>
    </w:p>
    <w:p w14:paraId="45D1AFC4" w14:textId="59EC39B6" w:rsidR="004A1F85" w:rsidRDefault="004A1F85" w:rsidP="00A14378">
      <w:pPr>
        <w:pStyle w:val="BV-Texte"/>
        <w:ind w:left="0"/>
      </w:pPr>
    </w:p>
    <w:bookmarkEnd w:id="0"/>
    <w:p w14:paraId="41DD4758" w14:textId="77777777" w:rsidR="00B634FF" w:rsidRDefault="00B634FF" w:rsidP="00A14378">
      <w:pPr>
        <w:pStyle w:val="BV-Texte"/>
        <w:ind w:left="0"/>
      </w:pPr>
    </w:p>
    <w:tbl>
      <w:tblPr>
        <w:tblStyle w:val="TableGrid"/>
        <w:tblW w:w="12954"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3"/>
        <w:gridCol w:w="1621"/>
      </w:tblGrid>
      <w:tr w:rsidR="004A1F85" w:rsidRPr="006A7799" w14:paraId="14C9C02C" w14:textId="77777777" w:rsidTr="00BA0EDA">
        <w:trPr>
          <w:trHeight w:val="340"/>
        </w:trPr>
        <w:tc>
          <w:tcPr>
            <w:tcW w:w="11333" w:type="dxa"/>
          </w:tcPr>
          <w:p w14:paraId="207B9440" w14:textId="3A9DB537" w:rsidR="00BA0EDA" w:rsidRDefault="00BA0EDA" w:rsidP="00082F52">
            <w:pPr>
              <w:ind w:left="-88"/>
              <w:rPr>
                <w:rFonts w:ascii="Arial" w:eastAsiaTheme="minorEastAsia" w:hAnsi="Arial" w:cs="Arial"/>
                <w:kern w:val="24"/>
                <w:sz w:val="18"/>
                <w:szCs w:val="18"/>
                <w:lang w:val="en-US"/>
              </w:rPr>
            </w:pPr>
          </w:p>
          <w:tbl>
            <w:tblPr>
              <w:tblStyle w:val="TableGrid"/>
              <w:tblW w:w="11071"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4371"/>
              <w:gridCol w:w="1583"/>
              <w:gridCol w:w="3534"/>
              <w:gridCol w:w="1583"/>
            </w:tblGrid>
            <w:tr w:rsidR="00BA0EDA" w:rsidRPr="00BA0EDA" w14:paraId="4C6CE242" w14:textId="77777777" w:rsidTr="00BA0EDA">
              <w:trPr>
                <w:trHeight w:hRule="exact" w:val="284"/>
              </w:trPr>
              <w:tc>
                <w:tcPr>
                  <w:tcW w:w="4371" w:type="dxa"/>
                  <w:tcBorders>
                    <w:top w:val="single" w:sz="2" w:space="0" w:color="E40240"/>
                    <w:left w:val="single" w:sz="2" w:space="0" w:color="E40240"/>
                    <w:bottom w:val="single" w:sz="2" w:space="0" w:color="E40240"/>
                    <w:right w:val="single" w:sz="2" w:space="0" w:color="E40240"/>
                  </w:tcBorders>
                  <w:vAlign w:val="center"/>
                </w:tcPr>
                <w:p w14:paraId="5B49576F" w14:textId="77777777" w:rsidR="00BA0EDA" w:rsidRPr="00BA0EDA" w:rsidRDefault="00BA0EDA" w:rsidP="00BA0EDA">
                  <w:pPr>
                    <w:rPr>
                      <w:rFonts w:ascii="Arial Gras" w:eastAsia="Arial" w:hAnsi="Arial Gras" w:cs="Times New Roman"/>
                      <w:b/>
                      <w:caps/>
                      <w:color w:val="E40240"/>
                      <w:spacing w:val="6"/>
                      <w:sz w:val="16"/>
                    </w:rPr>
                  </w:pPr>
                  <w:r w:rsidRPr="00BA0EDA">
                    <w:rPr>
                      <w:rFonts w:ascii="Arial Gras" w:eastAsia="Arial" w:hAnsi="Arial Gras" w:cs="Times New Roman"/>
                      <w:color w:val="E40240"/>
                      <w:spacing w:val="6"/>
                      <w:sz w:val="16"/>
                      <w:lang w:val="en-US"/>
                    </w:rPr>
                    <w:t>ANALYST/INVESTOR CONTACTS</w:t>
                  </w:r>
                </w:p>
              </w:tc>
              <w:tc>
                <w:tcPr>
                  <w:tcW w:w="1583" w:type="dxa"/>
                  <w:tcBorders>
                    <w:left w:val="single" w:sz="2" w:space="0" w:color="E40240"/>
                    <w:right w:val="single" w:sz="2" w:space="0" w:color="E40240"/>
                  </w:tcBorders>
                  <w:vAlign w:val="center"/>
                </w:tcPr>
                <w:p w14:paraId="27AC1837" w14:textId="77777777" w:rsidR="00BA0EDA" w:rsidRPr="00BA0EDA" w:rsidRDefault="00BA0EDA" w:rsidP="00BA0EDA">
                  <w:pPr>
                    <w:ind w:left="113"/>
                    <w:rPr>
                      <w:rFonts w:ascii="Arial" w:eastAsia="Arial" w:hAnsi="Arial" w:cs="Times New Roman"/>
                      <w:color w:val="000000"/>
                      <w:sz w:val="16"/>
                      <w:lang w:val="en-US"/>
                    </w:rPr>
                  </w:pPr>
                </w:p>
              </w:tc>
              <w:tc>
                <w:tcPr>
                  <w:tcW w:w="3534" w:type="dxa"/>
                  <w:tcBorders>
                    <w:top w:val="single" w:sz="2" w:space="0" w:color="E40240"/>
                    <w:left w:val="single" w:sz="2" w:space="0" w:color="E40240"/>
                    <w:bottom w:val="single" w:sz="2" w:space="0" w:color="E40240"/>
                    <w:right w:val="single" w:sz="2" w:space="0" w:color="E40240"/>
                  </w:tcBorders>
                  <w:vAlign w:val="center"/>
                </w:tcPr>
                <w:p w14:paraId="1029B61F" w14:textId="77777777" w:rsidR="00BA0EDA" w:rsidRPr="00BA0EDA" w:rsidRDefault="00BA0EDA" w:rsidP="00BA0EDA">
                  <w:pPr>
                    <w:rPr>
                      <w:rFonts w:ascii="Arial Gras" w:eastAsia="Arial" w:hAnsi="Arial Gras" w:cs="Times New Roman"/>
                      <w:b/>
                      <w:caps/>
                      <w:color w:val="E40240"/>
                      <w:spacing w:val="6"/>
                      <w:sz w:val="16"/>
                    </w:rPr>
                  </w:pPr>
                  <w:r w:rsidRPr="00BA0EDA">
                    <w:rPr>
                      <w:rFonts w:ascii="Arial Gras" w:eastAsia="Arial" w:hAnsi="Arial Gras" w:cs="Times New Roman"/>
                      <w:b/>
                      <w:caps/>
                      <w:color w:val="E40240"/>
                      <w:spacing w:val="6"/>
                      <w:sz w:val="16"/>
                      <w:lang w:val="en-US"/>
                    </w:rPr>
                    <w:t>MEDIA CONTACTS</w:t>
                  </w:r>
                </w:p>
              </w:tc>
              <w:tc>
                <w:tcPr>
                  <w:tcW w:w="1583" w:type="dxa"/>
                  <w:tcBorders>
                    <w:left w:val="single" w:sz="2" w:space="0" w:color="E40240"/>
                  </w:tcBorders>
                  <w:vAlign w:val="center"/>
                </w:tcPr>
                <w:p w14:paraId="2B3C8952" w14:textId="77777777" w:rsidR="00BA0EDA" w:rsidRPr="00BA0EDA" w:rsidRDefault="00BA0EDA" w:rsidP="00BA0EDA">
                  <w:pPr>
                    <w:ind w:left="113"/>
                    <w:rPr>
                      <w:rFonts w:ascii="Arial" w:eastAsia="Arial" w:hAnsi="Arial" w:cs="Times New Roman"/>
                      <w:color w:val="000000"/>
                      <w:sz w:val="16"/>
                    </w:rPr>
                  </w:pPr>
                </w:p>
              </w:tc>
            </w:tr>
            <w:tr w:rsidR="00BA0EDA" w:rsidRPr="00BA0EDA" w14:paraId="0D7F5703" w14:textId="77777777" w:rsidTr="00BA0EDA">
              <w:trPr>
                <w:trHeight w:hRule="exact" w:val="284"/>
              </w:trPr>
              <w:tc>
                <w:tcPr>
                  <w:tcW w:w="4371" w:type="dxa"/>
                  <w:tcBorders>
                    <w:top w:val="single" w:sz="2" w:space="0" w:color="E40240"/>
                  </w:tcBorders>
                  <w:vAlign w:val="bottom"/>
                </w:tcPr>
                <w:p w14:paraId="0830E528" w14:textId="77777777" w:rsidR="00BA0EDA" w:rsidRPr="00BA0EDA" w:rsidRDefault="00BA0EDA" w:rsidP="00BA0EDA">
                  <w:pPr>
                    <w:ind w:left="113"/>
                    <w:rPr>
                      <w:rFonts w:ascii="Arial Gras" w:eastAsia="Arial" w:hAnsi="Arial Gras" w:cs="Times New Roman"/>
                      <w:b/>
                      <w:color w:val="000000"/>
                      <w:sz w:val="16"/>
                      <w:lang w:val="en-US"/>
                    </w:rPr>
                  </w:pPr>
                  <w:r w:rsidRPr="00BA0EDA">
                    <w:rPr>
                      <w:rFonts w:ascii="Arial Gras" w:eastAsia="Arial" w:hAnsi="Arial Gras" w:cs="Times New Roman"/>
                      <w:b/>
                      <w:color w:val="000000"/>
                      <w:sz w:val="16"/>
                      <w:lang w:val="en-US"/>
                    </w:rPr>
                    <w:t xml:space="preserve">Laurent </w:t>
                  </w:r>
                  <w:proofErr w:type="spellStart"/>
                  <w:r w:rsidRPr="00BA0EDA">
                    <w:rPr>
                      <w:rFonts w:ascii="Arial Gras" w:eastAsia="Arial" w:hAnsi="Arial Gras" w:cs="Times New Roman"/>
                      <w:b/>
                      <w:color w:val="000000"/>
                      <w:sz w:val="16"/>
                      <w:lang w:val="en-US"/>
                    </w:rPr>
                    <w:t>Brunelle</w:t>
                  </w:r>
                  <w:proofErr w:type="spellEnd"/>
                </w:p>
              </w:tc>
              <w:tc>
                <w:tcPr>
                  <w:tcW w:w="1583" w:type="dxa"/>
                  <w:tcBorders>
                    <w:right w:val="single" w:sz="2" w:space="0" w:color="FEC7D6"/>
                  </w:tcBorders>
                  <w:vAlign w:val="bottom"/>
                </w:tcPr>
                <w:p w14:paraId="56D3E794" w14:textId="77777777" w:rsidR="00BA0EDA" w:rsidRPr="00BA0EDA" w:rsidRDefault="00BA0EDA" w:rsidP="00BA0EDA">
                  <w:pPr>
                    <w:ind w:left="113"/>
                    <w:rPr>
                      <w:rFonts w:ascii="Arial" w:eastAsia="Arial" w:hAnsi="Arial" w:cs="Times New Roman"/>
                      <w:color w:val="000000"/>
                      <w:sz w:val="16"/>
                      <w:lang w:val="en-US"/>
                    </w:rPr>
                  </w:pPr>
                </w:p>
              </w:tc>
              <w:tc>
                <w:tcPr>
                  <w:tcW w:w="3534" w:type="dxa"/>
                  <w:tcBorders>
                    <w:top w:val="single" w:sz="2" w:space="0" w:color="E40240"/>
                    <w:left w:val="single" w:sz="2" w:space="0" w:color="FEC7D6"/>
                  </w:tcBorders>
                  <w:vAlign w:val="bottom"/>
                </w:tcPr>
                <w:p w14:paraId="1A67ED83" w14:textId="77777777" w:rsidR="00BA0EDA" w:rsidRPr="00BA0EDA" w:rsidRDefault="00BA0EDA" w:rsidP="00BA0EDA">
                  <w:pPr>
                    <w:ind w:left="113"/>
                    <w:rPr>
                      <w:rFonts w:ascii="Arial Gras" w:eastAsia="Arial" w:hAnsi="Arial Gras" w:cs="Times New Roman"/>
                      <w:b/>
                      <w:color w:val="000000"/>
                      <w:sz w:val="16"/>
                    </w:rPr>
                  </w:pPr>
                  <w:r w:rsidRPr="00BA0EDA">
                    <w:rPr>
                      <w:rFonts w:ascii="Arial Gras" w:eastAsia="Arial" w:hAnsi="Arial Gras" w:cs="Times New Roman"/>
                      <w:b/>
                      <w:color w:val="000000"/>
                      <w:sz w:val="16"/>
                    </w:rPr>
                    <w:t>Véronique Gielec</w:t>
                  </w:r>
                </w:p>
              </w:tc>
              <w:tc>
                <w:tcPr>
                  <w:tcW w:w="1583" w:type="dxa"/>
                  <w:vAlign w:val="bottom"/>
                </w:tcPr>
                <w:p w14:paraId="200F7EC7" w14:textId="77777777" w:rsidR="00BA0EDA" w:rsidRPr="00BA0EDA" w:rsidRDefault="00BA0EDA" w:rsidP="00BA0EDA">
                  <w:pPr>
                    <w:ind w:left="113"/>
                    <w:rPr>
                      <w:rFonts w:ascii="Arial" w:eastAsia="Arial" w:hAnsi="Arial" w:cs="Times New Roman"/>
                      <w:color w:val="000000"/>
                      <w:sz w:val="16"/>
                    </w:rPr>
                  </w:pPr>
                </w:p>
              </w:tc>
            </w:tr>
            <w:tr w:rsidR="00BA0EDA" w:rsidRPr="00BA0EDA" w14:paraId="48AAFA59" w14:textId="77777777" w:rsidTr="00BA0EDA">
              <w:tc>
                <w:tcPr>
                  <w:tcW w:w="4371" w:type="dxa"/>
                  <w:vAlign w:val="center"/>
                </w:tcPr>
                <w:p w14:paraId="6939C2D6" w14:textId="77777777" w:rsidR="00BA0EDA" w:rsidRPr="00BA0EDA" w:rsidRDefault="00BA0EDA" w:rsidP="00BA0EDA">
                  <w:pPr>
                    <w:ind w:left="113"/>
                    <w:rPr>
                      <w:rFonts w:ascii="Arial" w:eastAsia="Arial" w:hAnsi="Arial" w:cs="Times New Roman"/>
                      <w:color w:val="000000"/>
                      <w:sz w:val="16"/>
                      <w:lang w:val="en-US"/>
                    </w:rPr>
                  </w:pPr>
                  <w:r w:rsidRPr="00BA0EDA">
                    <w:rPr>
                      <w:rFonts w:ascii="Arial" w:eastAsia="Arial" w:hAnsi="Arial" w:cs="Times New Roman"/>
                      <w:color w:val="000000"/>
                      <w:sz w:val="16"/>
                      <w:lang w:val="en-US"/>
                    </w:rPr>
                    <w:t>+33 (0)1 55 24 76 09</w:t>
                  </w:r>
                </w:p>
              </w:tc>
              <w:tc>
                <w:tcPr>
                  <w:tcW w:w="1583" w:type="dxa"/>
                  <w:tcBorders>
                    <w:right w:val="single" w:sz="2" w:space="0" w:color="FEC7D6"/>
                  </w:tcBorders>
                  <w:vAlign w:val="center"/>
                </w:tcPr>
                <w:p w14:paraId="67F48726" w14:textId="77777777" w:rsidR="00BA0EDA" w:rsidRPr="00BA0EDA" w:rsidRDefault="00BA0EDA" w:rsidP="00BA0EDA">
                  <w:pPr>
                    <w:ind w:left="113"/>
                    <w:rPr>
                      <w:rFonts w:ascii="Arial" w:eastAsia="Arial" w:hAnsi="Arial" w:cs="Times New Roman"/>
                      <w:color w:val="000000"/>
                      <w:sz w:val="16"/>
                      <w:lang w:val="en-US"/>
                    </w:rPr>
                  </w:pPr>
                </w:p>
              </w:tc>
              <w:tc>
                <w:tcPr>
                  <w:tcW w:w="3534" w:type="dxa"/>
                  <w:tcBorders>
                    <w:left w:val="single" w:sz="2" w:space="0" w:color="FEC7D6"/>
                  </w:tcBorders>
                  <w:vAlign w:val="center"/>
                </w:tcPr>
                <w:p w14:paraId="2AF19CDD" w14:textId="77777777" w:rsidR="00BA0EDA" w:rsidRPr="00BA0EDA" w:rsidRDefault="00BA0EDA" w:rsidP="00BA0EDA">
                  <w:pPr>
                    <w:ind w:left="113"/>
                    <w:rPr>
                      <w:rFonts w:ascii="Arial" w:eastAsia="Arial" w:hAnsi="Arial" w:cs="Times New Roman"/>
                      <w:color w:val="000000"/>
                      <w:sz w:val="16"/>
                    </w:rPr>
                  </w:pPr>
                  <w:r w:rsidRPr="00BA0EDA">
                    <w:rPr>
                      <w:rFonts w:ascii="Arial" w:eastAsia="Arial" w:hAnsi="Arial" w:cs="Times New Roman"/>
                      <w:color w:val="000000"/>
                      <w:sz w:val="16"/>
                    </w:rPr>
                    <w:t>+33 (0)1 55 24 76 01</w:t>
                  </w:r>
                </w:p>
              </w:tc>
              <w:tc>
                <w:tcPr>
                  <w:tcW w:w="1583" w:type="dxa"/>
                  <w:vAlign w:val="center"/>
                </w:tcPr>
                <w:p w14:paraId="121B9EE2" w14:textId="77777777" w:rsidR="00BA0EDA" w:rsidRPr="00BA0EDA" w:rsidRDefault="00BA0EDA" w:rsidP="00BA0EDA">
                  <w:pPr>
                    <w:ind w:left="113"/>
                    <w:rPr>
                      <w:rFonts w:ascii="Arial" w:eastAsia="Arial" w:hAnsi="Arial" w:cs="Times New Roman"/>
                      <w:color w:val="000000"/>
                      <w:sz w:val="16"/>
                    </w:rPr>
                  </w:pPr>
                </w:p>
              </w:tc>
            </w:tr>
            <w:tr w:rsidR="00BA0EDA" w:rsidRPr="00BA0EDA" w14:paraId="02D38490" w14:textId="77777777" w:rsidTr="00BA0EDA">
              <w:tc>
                <w:tcPr>
                  <w:tcW w:w="4371" w:type="dxa"/>
                  <w:vAlign w:val="center"/>
                </w:tcPr>
                <w:p w14:paraId="625315A7" w14:textId="77777777" w:rsidR="00BA0EDA" w:rsidRPr="00BA0EDA" w:rsidRDefault="00BA0EDA" w:rsidP="00BA0EDA">
                  <w:pPr>
                    <w:ind w:left="113"/>
                    <w:rPr>
                      <w:rFonts w:ascii="Arial" w:eastAsia="Arial" w:hAnsi="Arial" w:cs="Times New Roman"/>
                      <w:color w:val="000000"/>
                      <w:sz w:val="16"/>
                      <w:lang w:val="en-US"/>
                    </w:rPr>
                  </w:pPr>
                  <w:r w:rsidRPr="00BA0EDA">
                    <w:rPr>
                      <w:rFonts w:ascii="Arial" w:eastAsia="Arial" w:hAnsi="Arial" w:cs="Times New Roman"/>
                      <w:color w:val="000000"/>
                      <w:sz w:val="16"/>
                      <w:lang w:val="en-US"/>
                    </w:rPr>
                    <w:t>laurent.brunelle@bureauveritas.com</w:t>
                  </w:r>
                </w:p>
              </w:tc>
              <w:tc>
                <w:tcPr>
                  <w:tcW w:w="1583" w:type="dxa"/>
                  <w:tcBorders>
                    <w:right w:val="single" w:sz="2" w:space="0" w:color="FEC7D6"/>
                  </w:tcBorders>
                  <w:vAlign w:val="center"/>
                </w:tcPr>
                <w:p w14:paraId="28728209" w14:textId="77777777" w:rsidR="00BA0EDA" w:rsidRPr="00BA0EDA" w:rsidRDefault="00BA0EDA" w:rsidP="00BA0EDA">
                  <w:pPr>
                    <w:ind w:left="113"/>
                    <w:rPr>
                      <w:rFonts w:ascii="Arial" w:eastAsia="Arial" w:hAnsi="Arial" w:cs="Times New Roman"/>
                      <w:color w:val="000000"/>
                      <w:sz w:val="16"/>
                      <w:lang w:val="en-US"/>
                    </w:rPr>
                  </w:pPr>
                </w:p>
              </w:tc>
              <w:tc>
                <w:tcPr>
                  <w:tcW w:w="3534" w:type="dxa"/>
                  <w:tcBorders>
                    <w:left w:val="single" w:sz="2" w:space="0" w:color="FEC7D6"/>
                  </w:tcBorders>
                  <w:vAlign w:val="center"/>
                </w:tcPr>
                <w:p w14:paraId="4BF348FE" w14:textId="77777777" w:rsidR="00BA0EDA" w:rsidRPr="00BA0EDA" w:rsidRDefault="00BA0EDA" w:rsidP="00BA0EDA">
                  <w:pPr>
                    <w:ind w:left="113"/>
                    <w:rPr>
                      <w:rFonts w:ascii="Arial" w:eastAsia="Arial" w:hAnsi="Arial" w:cs="Times New Roman"/>
                      <w:color w:val="000000"/>
                      <w:sz w:val="16"/>
                    </w:rPr>
                  </w:pPr>
                  <w:r w:rsidRPr="00BA0EDA">
                    <w:rPr>
                      <w:rFonts w:ascii="Arial" w:eastAsia="Arial" w:hAnsi="Arial" w:cs="Times New Roman"/>
                      <w:color w:val="000000"/>
                      <w:sz w:val="16"/>
                    </w:rPr>
                    <w:t>veronique.gielec@bureauveritas.com</w:t>
                  </w:r>
                </w:p>
              </w:tc>
              <w:tc>
                <w:tcPr>
                  <w:tcW w:w="1583" w:type="dxa"/>
                  <w:vAlign w:val="center"/>
                </w:tcPr>
                <w:p w14:paraId="4F441B2E" w14:textId="77777777" w:rsidR="00BA0EDA" w:rsidRPr="00BA0EDA" w:rsidRDefault="00BA0EDA" w:rsidP="00BA0EDA">
                  <w:pPr>
                    <w:ind w:left="113"/>
                    <w:rPr>
                      <w:rFonts w:ascii="Arial" w:eastAsia="Arial" w:hAnsi="Arial" w:cs="Times New Roman"/>
                      <w:color w:val="000000"/>
                      <w:sz w:val="16"/>
                    </w:rPr>
                  </w:pPr>
                </w:p>
              </w:tc>
            </w:tr>
            <w:tr w:rsidR="00BA0EDA" w:rsidRPr="00BA0EDA" w14:paraId="1AB74B04" w14:textId="77777777" w:rsidTr="00BA0EDA">
              <w:tc>
                <w:tcPr>
                  <w:tcW w:w="4371" w:type="dxa"/>
                </w:tcPr>
                <w:p w14:paraId="6C061235" w14:textId="77777777" w:rsidR="00BA0EDA" w:rsidRPr="00907052" w:rsidRDefault="00BA0EDA" w:rsidP="00BA0EDA">
                  <w:pPr>
                    <w:ind w:left="113"/>
                    <w:rPr>
                      <w:rFonts w:ascii="Arial" w:eastAsia="Arial" w:hAnsi="Arial" w:cs="Times New Roman"/>
                      <w:color w:val="000000"/>
                      <w:sz w:val="16"/>
                    </w:rPr>
                  </w:pPr>
                </w:p>
                <w:p w14:paraId="4D4CAA58" w14:textId="4525EECB" w:rsidR="00BA0EDA" w:rsidRDefault="00BA0EDA" w:rsidP="00BA0EDA">
                  <w:pPr>
                    <w:ind w:left="113"/>
                    <w:rPr>
                      <w:rFonts w:ascii="Arial Gras" w:eastAsia="Arial" w:hAnsi="Arial Gras" w:cs="Times New Roman"/>
                      <w:b/>
                      <w:color w:val="000000"/>
                      <w:sz w:val="16"/>
                    </w:rPr>
                  </w:pPr>
                  <w:r w:rsidRPr="00BA0EDA">
                    <w:rPr>
                      <w:rFonts w:ascii="Arial Gras" w:eastAsia="Arial" w:hAnsi="Arial Gras" w:cs="Times New Roman"/>
                      <w:b/>
                      <w:color w:val="000000"/>
                      <w:sz w:val="16"/>
                    </w:rPr>
                    <w:t>Florent Chaix</w:t>
                  </w:r>
                </w:p>
                <w:p w14:paraId="5B46B42A" w14:textId="581984B4" w:rsidR="00BA0EDA" w:rsidRDefault="00BA0EDA" w:rsidP="00BA0EDA">
                  <w:pPr>
                    <w:ind w:left="113"/>
                    <w:rPr>
                      <w:rFonts w:ascii="Arial" w:eastAsia="Arial" w:hAnsi="Arial" w:cs="Times New Roman"/>
                      <w:color w:val="000000"/>
                      <w:sz w:val="16"/>
                    </w:rPr>
                  </w:pPr>
                  <w:r w:rsidRPr="00BA0EDA">
                    <w:rPr>
                      <w:rFonts w:ascii="Arial" w:eastAsia="Arial" w:hAnsi="Arial" w:cs="Times New Roman"/>
                      <w:color w:val="000000"/>
                      <w:sz w:val="16"/>
                    </w:rPr>
                    <w:t>+33 (0)1 55 24 77 80</w:t>
                  </w:r>
                </w:p>
                <w:p w14:paraId="6604C701" w14:textId="4F612CD5" w:rsidR="00BA0EDA" w:rsidRPr="00907052" w:rsidRDefault="00BA0EDA" w:rsidP="00BA0EDA">
                  <w:pPr>
                    <w:ind w:left="113"/>
                    <w:rPr>
                      <w:rFonts w:ascii="Arial" w:eastAsia="Arial" w:hAnsi="Arial" w:cs="Times New Roman"/>
                      <w:color w:val="000000"/>
                      <w:sz w:val="16"/>
                    </w:rPr>
                  </w:pPr>
                  <w:r w:rsidRPr="00BA0EDA">
                    <w:rPr>
                      <w:rFonts w:ascii="Arial" w:eastAsia="Arial" w:hAnsi="Arial" w:cs="Times New Roman"/>
                      <w:color w:val="000000"/>
                      <w:sz w:val="16"/>
                    </w:rPr>
                    <w:t>florent.chaix@bureauveritas.com</w:t>
                  </w:r>
                </w:p>
                <w:p w14:paraId="07913B6B" w14:textId="77777777" w:rsidR="00BA0EDA" w:rsidRPr="00907052" w:rsidRDefault="00BA0EDA" w:rsidP="00BA0EDA">
                  <w:pPr>
                    <w:ind w:left="113"/>
                    <w:rPr>
                      <w:rFonts w:ascii="Arial" w:eastAsia="Arial" w:hAnsi="Arial" w:cs="Times New Roman"/>
                      <w:color w:val="000000"/>
                      <w:sz w:val="16"/>
                    </w:rPr>
                  </w:pPr>
                </w:p>
              </w:tc>
              <w:tc>
                <w:tcPr>
                  <w:tcW w:w="1583" w:type="dxa"/>
                  <w:tcBorders>
                    <w:right w:val="single" w:sz="2" w:space="0" w:color="FEC7D6"/>
                  </w:tcBorders>
                </w:tcPr>
                <w:p w14:paraId="69A126B4" w14:textId="77777777" w:rsidR="00BA0EDA" w:rsidRPr="00907052" w:rsidRDefault="00BA0EDA" w:rsidP="00BA0EDA">
                  <w:pPr>
                    <w:ind w:left="113"/>
                    <w:rPr>
                      <w:rFonts w:ascii="Arial" w:eastAsia="Arial" w:hAnsi="Arial" w:cs="Times New Roman"/>
                      <w:color w:val="000000"/>
                      <w:sz w:val="16"/>
                    </w:rPr>
                  </w:pPr>
                </w:p>
              </w:tc>
              <w:tc>
                <w:tcPr>
                  <w:tcW w:w="3534" w:type="dxa"/>
                  <w:tcBorders>
                    <w:left w:val="single" w:sz="2" w:space="0" w:color="FEC7D6"/>
                  </w:tcBorders>
                </w:tcPr>
                <w:p w14:paraId="3FF31116" w14:textId="77777777" w:rsidR="00BA0EDA" w:rsidRPr="00907052" w:rsidRDefault="00BA0EDA" w:rsidP="00BA0EDA">
                  <w:pPr>
                    <w:ind w:left="113"/>
                    <w:rPr>
                      <w:rFonts w:ascii="Arial" w:eastAsia="Arial" w:hAnsi="Arial" w:cs="Times New Roman"/>
                      <w:color w:val="000000"/>
                      <w:sz w:val="16"/>
                    </w:rPr>
                  </w:pPr>
                </w:p>
                <w:p w14:paraId="1B2179DA" w14:textId="77777777" w:rsidR="00BA0EDA" w:rsidRPr="00907052" w:rsidRDefault="00BA0EDA" w:rsidP="00BA0EDA">
                  <w:pPr>
                    <w:ind w:left="113"/>
                    <w:rPr>
                      <w:rFonts w:ascii="Arial" w:eastAsia="Arial" w:hAnsi="Arial" w:cs="Times New Roman"/>
                      <w:b/>
                      <w:color w:val="000000"/>
                      <w:sz w:val="16"/>
                      <w:lang w:val="en-US"/>
                    </w:rPr>
                  </w:pPr>
                  <w:r w:rsidRPr="00907052">
                    <w:rPr>
                      <w:rFonts w:ascii="Arial" w:eastAsia="Arial" w:hAnsi="Arial" w:cs="Times New Roman"/>
                      <w:b/>
                      <w:color w:val="000000"/>
                      <w:sz w:val="16"/>
                      <w:lang w:val="en-US"/>
                    </w:rPr>
                    <w:t xml:space="preserve">Delphine </w:t>
                  </w:r>
                  <w:proofErr w:type="spellStart"/>
                  <w:r w:rsidRPr="00907052">
                    <w:rPr>
                      <w:rFonts w:ascii="Arial" w:eastAsia="Arial" w:hAnsi="Arial" w:cs="Times New Roman"/>
                      <w:b/>
                      <w:color w:val="000000"/>
                      <w:sz w:val="16"/>
                      <w:lang w:val="en-US"/>
                    </w:rPr>
                    <w:t>Doungouss</w:t>
                  </w:r>
                  <w:proofErr w:type="spellEnd"/>
                </w:p>
                <w:p w14:paraId="602A53D1" w14:textId="77777777" w:rsidR="00BA0EDA" w:rsidRDefault="00BA0EDA" w:rsidP="00BA0EDA">
                  <w:pPr>
                    <w:ind w:left="113"/>
                    <w:rPr>
                      <w:rFonts w:ascii="Arial" w:eastAsia="Arial" w:hAnsi="Arial" w:cs="Times New Roman"/>
                      <w:color w:val="000000"/>
                      <w:sz w:val="16"/>
                      <w:lang w:val="en-US"/>
                    </w:rPr>
                  </w:pPr>
                  <w:r w:rsidRPr="00BA0EDA">
                    <w:rPr>
                      <w:rFonts w:ascii="Arial" w:eastAsia="Arial" w:hAnsi="Arial" w:cs="Times New Roman"/>
                      <w:color w:val="000000"/>
                      <w:sz w:val="16"/>
                      <w:lang w:val="en-US"/>
                    </w:rPr>
                    <w:t>+33 (0)1 55 24 70 95</w:t>
                  </w:r>
                </w:p>
                <w:p w14:paraId="173F21F3" w14:textId="77777777" w:rsidR="00BA0EDA" w:rsidRPr="00907052" w:rsidRDefault="008E4A09" w:rsidP="00BA0EDA">
                  <w:pPr>
                    <w:pStyle w:val="Coordonnes-texte"/>
                    <w:rPr>
                      <w:rFonts w:cs="Arial"/>
                      <w:lang w:val="en-US"/>
                    </w:rPr>
                  </w:pPr>
                  <w:hyperlink r:id="rId17" w:history="1">
                    <w:r w:rsidR="00BA0EDA" w:rsidRPr="00907052">
                      <w:rPr>
                        <w:rStyle w:val="Hyperlink"/>
                        <w:rFonts w:cs="Arial"/>
                        <w:lang w:val="en-US"/>
                      </w:rPr>
                      <w:t>delphine.doungouss@bureauveritas.com</w:t>
                    </w:r>
                  </w:hyperlink>
                </w:p>
                <w:p w14:paraId="6656A604" w14:textId="541F0B73" w:rsidR="00BA0EDA" w:rsidRPr="00BA0EDA" w:rsidRDefault="00BA0EDA" w:rsidP="00BA0EDA">
                  <w:pPr>
                    <w:ind w:left="113"/>
                    <w:rPr>
                      <w:rFonts w:ascii="Arial" w:eastAsia="Arial" w:hAnsi="Arial" w:cs="Times New Roman"/>
                      <w:color w:val="000000"/>
                      <w:sz w:val="16"/>
                      <w:lang w:val="en-US"/>
                    </w:rPr>
                  </w:pPr>
                </w:p>
              </w:tc>
              <w:tc>
                <w:tcPr>
                  <w:tcW w:w="1583" w:type="dxa"/>
                </w:tcPr>
                <w:p w14:paraId="252BC1D2" w14:textId="77777777" w:rsidR="00BA0EDA" w:rsidRPr="00907052" w:rsidRDefault="00BA0EDA" w:rsidP="00BA0EDA">
                  <w:pPr>
                    <w:ind w:left="113"/>
                    <w:rPr>
                      <w:rFonts w:ascii="Arial" w:eastAsia="Arial" w:hAnsi="Arial" w:cs="Times New Roman"/>
                      <w:color w:val="000000"/>
                      <w:sz w:val="16"/>
                      <w:lang w:val="en-US"/>
                    </w:rPr>
                  </w:pPr>
                </w:p>
              </w:tc>
            </w:tr>
            <w:tr w:rsidR="00BA0EDA" w:rsidRPr="00BA0EDA" w14:paraId="67AE19A6" w14:textId="77777777" w:rsidTr="00BA0EDA">
              <w:tc>
                <w:tcPr>
                  <w:tcW w:w="4371" w:type="dxa"/>
                  <w:vAlign w:val="bottom"/>
                </w:tcPr>
                <w:p w14:paraId="04C59500" w14:textId="572F1ADA" w:rsidR="00BA0EDA" w:rsidRPr="00BA0EDA" w:rsidRDefault="00BA0EDA" w:rsidP="00BA0EDA">
                  <w:pPr>
                    <w:ind w:left="113"/>
                    <w:rPr>
                      <w:rFonts w:ascii="Arial Gras" w:eastAsia="Arial" w:hAnsi="Arial Gras" w:cs="Times New Roman"/>
                      <w:b/>
                      <w:color w:val="000000"/>
                      <w:sz w:val="16"/>
                      <w:lang w:val="en-US"/>
                    </w:rPr>
                  </w:pPr>
                </w:p>
              </w:tc>
              <w:tc>
                <w:tcPr>
                  <w:tcW w:w="1583" w:type="dxa"/>
                  <w:tcBorders>
                    <w:right w:val="single" w:sz="2" w:space="0" w:color="FEC7D6"/>
                  </w:tcBorders>
                  <w:vAlign w:val="bottom"/>
                </w:tcPr>
                <w:p w14:paraId="2AF1CB7C" w14:textId="77777777" w:rsidR="00BA0EDA" w:rsidRPr="00BA0EDA" w:rsidRDefault="00BA0EDA" w:rsidP="00BA0EDA">
                  <w:pPr>
                    <w:ind w:left="113"/>
                    <w:rPr>
                      <w:rFonts w:ascii="Arial" w:eastAsia="Arial" w:hAnsi="Arial" w:cs="Times New Roman"/>
                      <w:color w:val="000000"/>
                      <w:sz w:val="16"/>
                      <w:lang w:val="en-US"/>
                    </w:rPr>
                  </w:pPr>
                </w:p>
              </w:tc>
              <w:tc>
                <w:tcPr>
                  <w:tcW w:w="3534" w:type="dxa"/>
                  <w:tcBorders>
                    <w:left w:val="single" w:sz="2" w:space="0" w:color="FEC7D6"/>
                  </w:tcBorders>
                  <w:vAlign w:val="bottom"/>
                </w:tcPr>
                <w:p w14:paraId="19182D84" w14:textId="77777777" w:rsidR="00BA0EDA" w:rsidRPr="00BA0EDA" w:rsidRDefault="00BA0EDA" w:rsidP="00BA0EDA">
                  <w:pPr>
                    <w:ind w:left="113"/>
                    <w:rPr>
                      <w:rFonts w:ascii="Arial Gras" w:eastAsia="Arial" w:hAnsi="Arial Gras" w:cs="Times New Roman"/>
                      <w:b/>
                      <w:color w:val="000000"/>
                      <w:sz w:val="16"/>
                    </w:rPr>
                  </w:pPr>
                  <w:r w:rsidRPr="00BA0EDA">
                    <w:rPr>
                      <w:rFonts w:ascii="Arial Gras" w:eastAsia="Arial" w:hAnsi="Arial Gras" w:cs="Times New Roman"/>
                      <w:b/>
                      <w:color w:val="000000"/>
                      <w:sz w:val="16"/>
                    </w:rPr>
                    <w:t>DGM Conseil</w:t>
                  </w:r>
                </w:p>
              </w:tc>
              <w:tc>
                <w:tcPr>
                  <w:tcW w:w="1583" w:type="dxa"/>
                  <w:vAlign w:val="bottom"/>
                </w:tcPr>
                <w:p w14:paraId="4F96CFC8" w14:textId="77777777" w:rsidR="00BA0EDA" w:rsidRPr="00BA0EDA" w:rsidRDefault="00BA0EDA" w:rsidP="00BA0EDA">
                  <w:pPr>
                    <w:ind w:left="113"/>
                    <w:rPr>
                      <w:rFonts w:ascii="Arial" w:eastAsia="Arial" w:hAnsi="Arial" w:cs="Times New Roman"/>
                      <w:color w:val="000000"/>
                      <w:sz w:val="16"/>
                    </w:rPr>
                  </w:pPr>
                </w:p>
              </w:tc>
            </w:tr>
            <w:tr w:rsidR="00BA0EDA" w:rsidRPr="00BA0EDA" w14:paraId="34469D6A" w14:textId="77777777" w:rsidTr="00BA0EDA">
              <w:tc>
                <w:tcPr>
                  <w:tcW w:w="4371" w:type="dxa"/>
                </w:tcPr>
                <w:p w14:paraId="1D1AE806" w14:textId="3F3B1175" w:rsidR="00BA0EDA" w:rsidRPr="00BA0EDA" w:rsidRDefault="00BA0EDA" w:rsidP="00BA0EDA">
                  <w:pPr>
                    <w:ind w:left="113"/>
                    <w:rPr>
                      <w:rFonts w:ascii="Arial" w:eastAsia="Arial" w:hAnsi="Arial" w:cs="Times New Roman"/>
                      <w:color w:val="000000"/>
                      <w:sz w:val="16"/>
                    </w:rPr>
                  </w:pPr>
                </w:p>
              </w:tc>
              <w:tc>
                <w:tcPr>
                  <w:tcW w:w="1583" w:type="dxa"/>
                  <w:tcBorders>
                    <w:right w:val="single" w:sz="2" w:space="0" w:color="FEC7D6"/>
                  </w:tcBorders>
                </w:tcPr>
                <w:p w14:paraId="2C43E52E" w14:textId="77777777" w:rsidR="00BA0EDA" w:rsidRPr="00BA0EDA" w:rsidRDefault="00BA0EDA" w:rsidP="00BA0EDA">
                  <w:pPr>
                    <w:ind w:left="113"/>
                    <w:rPr>
                      <w:rFonts w:ascii="Arial" w:eastAsia="Arial" w:hAnsi="Arial" w:cs="Times New Roman"/>
                      <w:color w:val="000000"/>
                      <w:sz w:val="16"/>
                      <w:lang w:val="en-US"/>
                    </w:rPr>
                  </w:pPr>
                </w:p>
              </w:tc>
              <w:tc>
                <w:tcPr>
                  <w:tcW w:w="3534" w:type="dxa"/>
                  <w:tcBorders>
                    <w:left w:val="single" w:sz="2" w:space="0" w:color="FEC7D6"/>
                  </w:tcBorders>
                </w:tcPr>
                <w:p w14:paraId="43BBD5A0" w14:textId="77777777" w:rsidR="00BA0EDA" w:rsidRPr="00BA0EDA" w:rsidRDefault="00BA0EDA" w:rsidP="00BA0EDA">
                  <w:pPr>
                    <w:ind w:left="113"/>
                    <w:rPr>
                      <w:rFonts w:ascii="Arial" w:eastAsia="Arial" w:hAnsi="Arial" w:cs="Times New Roman"/>
                      <w:color w:val="000000"/>
                      <w:sz w:val="16"/>
                    </w:rPr>
                  </w:pPr>
                  <w:r w:rsidRPr="00BA0EDA">
                    <w:rPr>
                      <w:rFonts w:ascii="Arial" w:eastAsia="Arial" w:hAnsi="Arial" w:cs="Times New Roman"/>
                      <w:color w:val="000000"/>
                      <w:sz w:val="16"/>
                    </w:rPr>
                    <w:t>+33 (0)1 40 70 11 89</w:t>
                  </w:r>
                </w:p>
              </w:tc>
              <w:tc>
                <w:tcPr>
                  <w:tcW w:w="1583" w:type="dxa"/>
                </w:tcPr>
                <w:p w14:paraId="17FF32A5" w14:textId="77777777" w:rsidR="00BA0EDA" w:rsidRPr="00BA0EDA" w:rsidRDefault="00BA0EDA" w:rsidP="00BA0EDA">
                  <w:pPr>
                    <w:ind w:left="113"/>
                    <w:rPr>
                      <w:rFonts w:ascii="Arial" w:eastAsia="Arial" w:hAnsi="Arial" w:cs="Times New Roman"/>
                      <w:color w:val="000000"/>
                      <w:sz w:val="16"/>
                    </w:rPr>
                  </w:pPr>
                </w:p>
              </w:tc>
            </w:tr>
            <w:tr w:rsidR="00BA0EDA" w:rsidRPr="00BA0EDA" w14:paraId="4F979F94" w14:textId="77777777" w:rsidTr="00BA0EDA">
              <w:tc>
                <w:tcPr>
                  <w:tcW w:w="4371" w:type="dxa"/>
                </w:tcPr>
                <w:p w14:paraId="1411AB33" w14:textId="7FA74724" w:rsidR="00BA0EDA" w:rsidRPr="00BA0EDA" w:rsidRDefault="00BA0EDA" w:rsidP="00BA0EDA">
                  <w:pPr>
                    <w:ind w:left="113"/>
                    <w:rPr>
                      <w:rFonts w:ascii="Arial" w:eastAsia="Arial" w:hAnsi="Arial" w:cs="Times New Roman"/>
                      <w:color w:val="000000"/>
                      <w:sz w:val="16"/>
                      <w:lang w:val="en-US"/>
                    </w:rPr>
                  </w:pPr>
                </w:p>
              </w:tc>
              <w:tc>
                <w:tcPr>
                  <w:tcW w:w="1583" w:type="dxa"/>
                  <w:tcBorders>
                    <w:right w:val="single" w:sz="2" w:space="0" w:color="FEC7D6"/>
                  </w:tcBorders>
                </w:tcPr>
                <w:p w14:paraId="04E18624" w14:textId="77777777" w:rsidR="00BA0EDA" w:rsidRPr="00BA0EDA" w:rsidRDefault="00BA0EDA" w:rsidP="00BA0EDA">
                  <w:pPr>
                    <w:ind w:left="113"/>
                    <w:rPr>
                      <w:rFonts w:ascii="Arial" w:eastAsia="Arial" w:hAnsi="Arial" w:cs="Times New Roman"/>
                      <w:color w:val="000000"/>
                      <w:sz w:val="16"/>
                      <w:lang w:val="en-US"/>
                    </w:rPr>
                  </w:pPr>
                </w:p>
              </w:tc>
              <w:tc>
                <w:tcPr>
                  <w:tcW w:w="3534" w:type="dxa"/>
                  <w:tcBorders>
                    <w:left w:val="single" w:sz="2" w:space="0" w:color="FEC7D6"/>
                  </w:tcBorders>
                </w:tcPr>
                <w:p w14:paraId="5AE3D8E9" w14:textId="77777777" w:rsidR="00BA0EDA" w:rsidRPr="00BA0EDA" w:rsidRDefault="00BA0EDA" w:rsidP="00BA0EDA">
                  <w:pPr>
                    <w:ind w:left="113"/>
                    <w:rPr>
                      <w:rFonts w:ascii="Arial" w:eastAsia="Arial" w:hAnsi="Arial" w:cs="Times New Roman"/>
                      <w:color w:val="000000"/>
                      <w:sz w:val="16"/>
                      <w:lang w:val="en-US"/>
                    </w:rPr>
                  </w:pPr>
                  <w:r w:rsidRPr="00BA0EDA">
                    <w:rPr>
                      <w:rFonts w:ascii="Arial" w:eastAsia="Arial" w:hAnsi="Arial" w:cs="Times New Roman"/>
                      <w:color w:val="000000"/>
                      <w:sz w:val="16"/>
                      <w:lang w:val="en-US"/>
                    </w:rPr>
                    <w:t>thomasdeclimens@dgm-conseil.fr / quentin.hua@dgm-conseil.fr</w:t>
                  </w:r>
                </w:p>
              </w:tc>
              <w:tc>
                <w:tcPr>
                  <w:tcW w:w="1583" w:type="dxa"/>
                </w:tcPr>
                <w:p w14:paraId="72054792" w14:textId="77777777" w:rsidR="00BA0EDA" w:rsidRPr="00BA0EDA" w:rsidRDefault="00BA0EDA" w:rsidP="00BA0EDA">
                  <w:pPr>
                    <w:ind w:left="113"/>
                    <w:rPr>
                      <w:rFonts w:ascii="Arial" w:eastAsia="Arial" w:hAnsi="Arial" w:cs="Times New Roman"/>
                      <w:color w:val="000000"/>
                      <w:sz w:val="16"/>
                      <w:lang w:val="en-US"/>
                    </w:rPr>
                  </w:pPr>
                </w:p>
              </w:tc>
            </w:tr>
          </w:tbl>
          <w:p w14:paraId="1850D9C2" w14:textId="1AF6C868" w:rsidR="004A1F85" w:rsidRPr="00082F52" w:rsidRDefault="004A1F85" w:rsidP="00BC0C88">
            <w:pPr>
              <w:rPr>
                <w:rFonts w:ascii="Arial" w:hAnsi="Arial" w:cs="Arial"/>
                <w:lang w:val="en-US"/>
              </w:rPr>
            </w:pPr>
          </w:p>
        </w:tc>
        <w:tc>
          <w:tcPr>
            <w:tcW w:w="1621" w:type="dxa"/>
          </w:tcPr>
          <w:p w14:paraId="70BE9C00" w14:textId="77777777" w:rsidR="004A1F85" w:rsidRPr="00A14378" w:rsidRDefault="004A1F85" w:rsidP="00BC0C88">
            <w:pPr>
              <w:pStyle w:val="NormalWeb"/>
              <w:spacing w:before="0" w:beforeAutospacing="0" w:after="0" w:afterAutospacing="0"/>
              <w:ind w:left="-88"/>
              <w:rPr>
                <w:rFonts w:ascii="Arial" w:hAnsi="Arial" w:cs="Arial"/>
                <w:sz w:val="18"/>
                <w:szCs w:val="18"/>
                <w:lang w:val="en-US"/>
              </w:rPr>
            </w:pPr>
            <w:r w:rsidRPr="00A14378">
              <w:rPr>
                <w:rFonts w:ascii="Arial" w:eastAsiaTheme="minorEastAsia" w:hAnsi="Arial" w:cs="Arial"/>
                <w:kern w:val="24"/>
                <w:sz w:val="18"/>
                <w:szCs w:val="18"/>
                <w:lang w:val="en-US"/>
              </w:rPr>
              <w:t xml:space="preserve">Our information is certified with </w:t>
            </w:r>
            <w:proofErr w:type="spellStart"/>
            <w:r w:rsidRPr="00A14378">
              <w:rPr>
                <w:rFonts w:ascii="Arial" w:eastAsiaTheme="minorEastAsia" w:hAnsi="Arial" w:cs="Arial"/>
                <w:kern w:val="24"/>
                <w:sz w:val="18"/>
                <w:szCs w:val="18"/>
                <w:lang w:val="en-US"/>
              </w:rPr>
              <w:t>blockchain</w:t>
            </w:r>
            <w:proofErr w:type="spellEnd"/>
            <w:r w:rsidRPr="00A14378">
              <w:rPr>
                <w:rFonts w:ascii="Arial" w:eastAsiaTheme="minorEastAsia" w:hAnsi="Arial" w:cs="Arial"/>
                <w:kern w:val="24"/>
                <w:sz w:val="18"/>
                <w:szCs w:val="18"/>
                <w:lang w:val="en-US"/>
              </w:rPr>
              <w:t xml:space="preserve"> technology.</w:t>
            </w:r>
          </w:p>
          <w:p w14:paraId="01EA78BA" w14:textId="1B262474" w:rsidR="004A1F85" w:rsidRDefault="004A1F85" w:rsidP="00BA0EDA">
            <w:pPr>
              <w:pStyle w:val="NormalWeb"/>
              <w:spacing w:before="0" w:beforeAutospacing="0" w:after="0" w:afterAutospacing="0"/>
              <w:ind w:left="-88"/>
              <w:rPr>
                <w:rFonts w:ascii="Arial" w:eastAsiaTheme="minorEastAsia" w:hAnsi="Arial" w:cs="Arial"/>
                <w:kern w:val="24"/>
                <w:sz w:val="18"/>
                <w:szCs w:val="18"/>
                <w:lang w:val="en-US"/>
              </w:rPr>
            </w:pPr>
            <w:r w:rsidRPr="00A14378">
              <w:rPr>
                <w:rFonts w:ascii="Arial" w:eastAsiaTheme="minorEastAsia" w:hAnsi="Arial" w:cs="Arial"/>
                <w:kern w:val="24"/>
                <w:sz w:val="18"/>
                <w:szCs w:val="18"/>
                <w:lang w:val="en-US"/>
              </w:rPr>
              <w:t xml:space="preserve">Check that this press release is genuine at </w:t>
            </w:r>
            <w:hyperlink r:id="rId18" w:history="1">
              <w:r w:rsidRPr="00A14378">
                <w:rPr>
                  <w:rStyle w:val="Hyperlink"/>
                  <w:rFonts w:ascii="Arial" w:eastAsiaTheme="minorEastAsia" w:hAnsi="Arial" w:cs="Arial"/>
                  <w:kern w:val="24"/>
                  <w:sz w:val="18"/>
                  <w:szCs w:val="18"/>
                  <w:lang w:val="en-US"/>
                </w:rPr>
                <w:t>www.wiztrust.com</w:t>
              </w:r>
            </w:hyperlink>
            <w:r w:rsidRPr="00A14378">
              <w:rPr>
                <w:rFonts w:ascii="Arial" w:eastAsiaTheme="minorEastAsia" w:hAnsi="Arial" w:cs="Arial"/>
                <w:kern w:val="24"/>
                <w:sz w:val="18"/>
                <w:szCs w:val="18"/>
                <w:lang w:val="en-US"/>
              </w:rPr>
              <w:t>.</w:t>
            </w:r>
          </w:p>
          <w:p w14:paraId="6B6DB7B7" w14:textId="77777777" w:rsidR="00BA0EDA" w:rsidRDefault="00BA0EDA" w:rsidP="00BA0EDA">
            <w:pPr>
              <w:pStyle w:val="NormalWeb"/>
              <w:spacing w:before="0" w:beforeAutospacing="0" w:after="0" w:afterAutospacing="0"/>
              <w:ind w:left="-88"/>
              <w:rPr>
                <w:rFonts w:ascii="Arial" w:eastAsiaTheme="minorEastAsia" w:hAnsi="Arial" w:cs="Arial"/>
                <w:kern w:val="24"/>
                <w:sz w:val="18"/>
                <w:szCs w:val="18"/>
                <w:lang w:val="en-US"/>
              </w:rPr>
            </w:pPr>
          </w:p>
          <w:p w14:paraId="6B2DDC97" w14:textId="77777777" w:rsidR="00BA0EDA" w:rsidRDefault="00BA0EDA" w:rsidP="00BA0EDA">
            <w:pPr>
              <w:pStyle w:val="NormalWeb"/>
              <w:spacing w:before="0" w:beforeAutospacing="0" w:after="0" w:afterAutospacing="0"/>
              <w:ind w:left="-88"/>
              <w:rPr>
                <w:rFonts w:ascii="Arial" w:eastAsiaTheme="minorEastAsia" w:hAnsi="Arial" w:cs="Arial"/>
                <w:kern w:val="24"/>
                <w:sz w:val="18"/>
                <w:szCs w:val="18"/>
                <w:lang w:val="en-US"/>
              </w:rPr>
            </w:pPr>
          </w:p>
          <w:p w14:paraId="59748976" w14:textId="77777777" w:rsidR="00BA0EDA" w:rsidRDefault="00BA0EDA" w:rsidP="00BA0EDA">
            <w:pPr>
              <w:pStyle w:val="NormalWeb"/>
              <w:spacing w:before="0" w:beforeAutospacing="0" w:after="0" w:afterAutospacing="0"/>
              <w:ind w:left="-88"/>
              <w:rPr>
                <w:rFonts w:ascii="Arial" w:eastAsiaTheme="minorEastAsia" w:hAnsi="Arial" w:cs="Arial"/>
                <w:kern w:val="24"/>
                <w:sz w:val="18"/>
                <w:szCs w:val="18"/>
                <w:lang w:val="en-US"/>
              </w:rPr>
            </w:pPr>
          </w:p>
          <w:p w14:paraId="66CA5067" w14:textId="77777777" w:rsidR="00BA0EDA" w:rsidRDefault="00BA0EDA" w:rsidP="00BA0EDA">
            <w:pPr>
              <w:pStyle w:val="NormalWeb"/>
              <w:spacing w:before="0" w:beforeAutospacing="0" w:after="0" w:afterAutospacing="0"/>
              <w:ind w:left="-88"/>
              <w:rPr>
                <w:rFonts w:ascii="Arial" w:eastAsiaTheme="minorEastAsia" w:hAnsi="Arial" w:cs="Arial"/>
                <w:kern w:val="24"/>
                <w:sz w:val="18"/>
                <w:szCs w:val="18"/>
                <w:lang w:val="en-US"/>
              </w:rPr>
            </w:pPr>
          </w:p>
          <w:p w14:paraId="7A7B65C4" w14:textId="77777777" w:rsidR="00BA0EDA" w:rsidRPr="00BA0EDA" w:rsidRDefault="00BA0EDA" w:rsidP="00BA0EDA">
            <w:pPr>
              <w:pStyle w:val="NormalWeb"/>
              <w:spacing w:before="0" w:beforeAutospacing="0" w:after="0" w:afterAutospacing="0"/>
              <w:ind w:left="-88"/>
              <w:rPr>
                <w:rFonts w:ascii="Arial" w:eastAsiaTheme="minorEastAsia" w:hAnsi="Arial" w:cs="Arial"/>
                <w:kern w:val="24"/>
                <w:sz w:val="18"/>
                <w:szCs w:val="18"/>
                <w:lang w:val="en-US"/>
              </w:rPr>
            </w:pPr>
          </w:p>
          <w:p w14:paraId="73120153" w14:textId="77777777" w:rsidR="00BA0EDA" w:rsidRPr="00A14378" w:rsidRDefault="00BA0EDA" w:rsidP="00BC0C88">
            <w:pPr>
              <w:ind w:firstLine="708"/>
              <w:rPr>
                <w:rFonts w:ascii="Arial" w:hAnsi="Arial" w:cs="Arial"/>
                <w:lang w:val="en-US"/>
              </w:rPr>
            </w:pPr>
          </w:p>
        </w:tc>
      </w:tr>
    </w:tbl>
    <w:p w14:paraId="3049253C" w14:textId="77777777" w:rsidR="005B68D9" w:rsidRPr="00D03F92" w:rsidRDefault="005B68D9">
      <w:pPr>
        <w:rPr>
          <w:rFonts w:ascii="Arial" w:hAnsi="Arial" w:cs="Arial"/>
        </w:rPr>
      </w:pPr>
    </w:p>
    <w:sectPr w:rsidR="005B68D9" w:rsidRPr="00D03F92" w:rsidSect="00DA5D4F">
      <w:headerReference w:type="default" r:id="rId19"/>
      <w:headerReference w:type="first" r:id="rId20"/>
      <w:pgSz w:w="12240" w:h="15840"/>
      <w:pgMar w:top="1440" w:right="1440" w:bottom="454"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FF2B" w16cex:dateUtc="2021-04-28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C45E72" w16cid:durableId="242D63DD"/>
  <w16cid:commentId w16cid:paraId="2BAEE15F" w16cid:durableId="2433FED9"/>
  <w16cid:commentId w16cid:paraId="1EAFC9D0" w16cid:durableId="2433FF2B"/>
  <w16cid:commentId w16cid:paraId="266802E6" w16cid:durableId="242D63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05A6" w14:textId="77777777" w:rsidR="005A2866" w:rsidRDefault="005A2866" w:rsidP="002D1015">
      <w:r>
        <w:separator/>
      </w:r>
    </w:p>
  </w:endnote>
  <w:endnote w:type="continuationSeparator" w:id="0">
    <w:p w14:paraId="197347F1" w14:textId="77777777" w:rsidR="005A2866" w:rsidRDefault="005A2866" w:rsidP="002D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1B6E" w14:textId="77777777" w:rsidR="005A2866" w:rsidRDefault="005A2866" w:rsidP="002D1015">
      <w:r>
        <w:separator/>
      </w:r>
    </w:p>
  </w:footnote>
  <w:footnote w:type="continuationSeparator" w:id="0">
    <w:p w14:paraId="7836EAC2" w14:textId="77777777" w:rsidR="005A2866" w:rsidRDefault="005A2866" w:rsidP="002D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221A" w14:textId="0654ACC4" w:rsidR="002D1015" w:rsidRDefault="002D1015">
    <w:pPr>
      <w:pStyle w:val="Header"/>
    </w:pPr>
  </w:p>
  <w:p w14:paraId="71220954" w14:textId="7974A155" w:rsidR="002D1015" w:rsidRDefault="002D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9093" w14:textId="3B74F621" w:rsidR="00397465" w:rsidRDefault="00397465">
    <w:pPr>
      <w:pStyle w:val="Header"/>
    </w:pPr>
    <w:r w:rsidRPr="00397465">
      <w:rPr>
        <w:noProof/>
      </w:rPr>
      <w:drawing>
        <wp:anchor distT="0" distB="0" distL="114300" distR="114300" simplePos="0" relativeHeight="251662336" behindDoc="1" locked="1" layoutInCell="1" allowOverlap="1" wp14:anchorId="4A2EE6E1" wp14:editId="11133632">
          <wp:simplePos x="0" y="0"/>
          <wp:positionH relativeFrom="column">
            <wp:posOffset>0</wp:posOffset>
          </wp:positionH>
          <wp:positionV relativeFrom="page">
            <wp:posOffset>420370</wp:posOffset>
          </wp:positionV>
          <wp:extent cx="658495" cy="820420"/>
          <wp:effectExtent l="0" t="0" r="825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V.png"/>
                  <pic:cNvPicPr/>
                </pic:nvPicPr>
                <pic:blipFill>
                  <a:blip r:embed="rId1">
                    <a:extLst>
                      <a:ext uri="{28A0092B-C50C-407E-A947-70E740481C1C}">
                        <a14:useLocalDpi xmlns:a14="http://schemas.microsoft.com/office/drawing/2010/main" val="0"/>
                      </a:ext>
                    </a:extLst>
                  </a:blip>
                  <a:stretch>
                    <a:fillRect/>
                  </a:stretch>
                </pic:blipFill>
                <pic:spPr>
                  <a:xfrm>
                    <a:off x="0" y="0"/>
                    <a:ext cx="658495"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2721C54"/>
    <w:lvl w:ilvl="0">
      <w:start w:val="1"/>
      <w:numFmt w:val="bullet"/>
      <w:pStyle w:val="ListBullet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jY0N7cwsrQwM7dQ0lEKTi0uzszPAykwrAUAhTWjtiwAAAA="/>
  </w:docVars>
  <w:rsids>
    <w:rsidRoot w:val="00585E2F"/>
    <w:rsid w:val="0004304A"/>
    <w:rsid w:val="00082F52"/>
    <w:rsid w:val="000846DD"/>
    <w:rsid w:val="00097ADA"/>
    <w:rsid w:val="000A04BA"/>
    <w:rsid w:val="000C2B6E"/>
    <w:rsid w:val="000E7E0C"/>
    <w:rsid w:val="001B4234"/>
    <w:rsid w:val="001D6567"/>
    <w:rsid w:val="00250BF9"/>
    <w:rsid w:val="002C5701"/>
    <w:rsid w:val="002D1015"/>
    <w:rsid w:val="00386130"/>
    <w:rsid w:val="00397465"/>
    <w:rsid w:val="003D454F"/>
    <w:rsid w:val="003E3B2A"/>
    <w:rsid w:val="00427D59"/>
    <w:rsid w:val="00454C93"/>
    <w:rsid w:val="004A1F85"/>
    <w:rsid w:val="004B1C9B"/>
    <w:rsid w:val="00572016"/>
    <w:rsid w:val="00585E2F"/>
    <w:rsid w:val="005A2866"/>
    <w:rsid w:val="005B68D9"/>
    <w:rsid w:val="005E28A0"/>
    <w:rsid w:val="005E7678"/>
    <w:rsid w:val="00673F49"/>
    <w:rsid w:val="006A7799"/>
    <w:rsid w:val="00700CB7"/>
    <w:rsid w:val="008E4A09"/>
    <w:rsid w:val="00907052"/>
    <w:rsid w:val="00972BF6"/>
    <w:rsid w:val="0098454C"/>
    <w:rsid w:val="009A3230"/>
    <w:rsid w:val="00A14378"/>
    <w:rsid w:val="00A14BB8"/>
    <w:rsid w:val="00AC2CD8"/>
    <w:rsid w:val="00B571EC"/>
    <w:rsid w:val="00B634FF"/>
    <w:rsid w:val="00BA0EDA"/>
    <w:rsid w:val="00C875CB"/>
    <w:rsid w:val="00D03F92"/>
    <w:rsid w:val="00DA5D4F"/>
    <w:rsid w:val="00DC2E7B"/>
    <w:rsid w:val="00E55721"/>
    <w:rsid w:val="00F44FB5"/>
    <w:rsid w:val="00FA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5AAC31"/>
  <w15:chartTrackingRefBased/>
  <w15:docId w15:val="{A54578B3-644D-41FC-87BC-213B2DC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2F"/>
    <w:pPr>
      <w:spacing w:after="0" w:line="240" w:lineRule="auto"/>
    </w:pPr>
    <w:rPr>
      <w:rFonts w:ascii="Calibri" w:hAnsi="Calibri" w:cs="Calibri"/>
    </w:rPr>
  </w:style>
  <w:style w:type="paragraph" w:styleId="Heading3">
    <w:name w:val="heading 3"/>
    <w:aliases w:val="BV"/>
    <w:basedOn w:val="Normal"/>
    <w:link w:val="Heading3Char"/>
    <w:uiPriority w:val="5"/>
    <w:unhideWhenUsed/>
    <w:qFormat/>
    <w:rsid w:val="00585E2F"/>
    <w:pPr>
      <w:keepNext/>
      <w:ind w:left="397"/>
      <w:outlineLvl w:val="2"/>
    </w:pPr>
    <w:rPr>
      <w:rFonts w:ascii="Calibri Light" w:hAnsi="Calibri Light" w:cs="Calibri Light"/>
      <w:color w:val="44546A"/>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V Char"/>
    <w:basedOn w:val="DefaultParagraphFont"/>
    <w:link w:val="Heading3"/>
    <w:uiPriority w:val="5"/>
    <w:rsid w:val="00585E2F"/>
    <w:rPr>
      <w:rFonts w:ascii="Calibri Light" w:hAnsi="Calibri Light" w:cs="Calibri Light"/>
      <w:color w:val="44546A"/>
      <w:sz w:val="20"/>
      <w:szCs w:val="20"/>
      <w:lang w:eastAsia="fr-FR"/>
    </w:rPr>
  </w:style>
  <w:style w:type="character" w:styleId="Hyperlink">
    <w:name w:val="Hyperlink"/>
    <w:basedOn w:val="DefaultParagraphFont"/>
    <w:uiPriority w:val="99"/>
    <w:unhideWhenUsed/>
    <w:rsid w:val="00585E2F"/>
    <w:rPr>
      <w:color w:val="0563C1"/>
      <w:u w:val="single"/>
    </w:rPr>
  </w:style>
  <w:style w:type="paragraph" w:customStyle="1" w:styleId="BV-Texte">
    <w:name w:val="BV-Texte"/>
    <w:basedOn w:val="Normal"/>
    <w:uiPriority w:val="6"/>
    <w:qFormat/>
    <w:rsid w:val="00585E2F"/>
    <w:pPr>
      <w:spacing w:line="240" w:lineRule="exact"/>
      <w:ind w:left="397"/>
      <w:jc w:val="both"/>
    </w:pPr>
    <w:rPr>
      <w:rFonts w:ascii="Calibri Light" w:hAnsi="Calibri Light" w:cs="Calibri Light"/>
      <w:color w:val="44546A"/>
      <w:sz w:val="18"/>
      <w:szCs w:val="18"/>
      <w:lang w:eastAsia="fr-FR"/>
    </w:rPr>
  </w:style>
  <w:style w:type="character" w:styleId="CommentReference">
    <w:name w:val="annotation reference"/>
    <w:basedOn w:val="DefaultParagraphFont"/>
    <w:uiPriority w:val="99"/>
    <w:semiHidden/>
    <w:unhideWhenUsed/>
    <w:rsid w:val="00585E2F"/>
    <w:rPr>
      <w:sz w:val="16"/>
      <w:szCs w:val="16"/>
    </w:rPr>
  </w:style>
  <w:style w:type="paragraph" w:styleId="CommentText">
    <w:name w:val="annotation text"/>
    <w:basedOn w:val="Normal"/>
    <w:link w:val="CommentTextChar"/>
    <w:uiPriority w:val="99"/>
    <w:semiHidden/>
    <w:unhideWhenUsed/>
    <w:rsid w:val="00585E2F"/>
    <w:rPr>
      <w:sz w:val="20"/>
      <w:szCs w:val="20"/>
    </w:rPr>
  </w:style>
  <w:style w:type="character" w:customStyle="1" w:styleId="CommentTextChar">
    <w:name w:val="Comment Text Char"/>
    <w:basedOn w:val="DefaultParagraphFont"/>
    <w:link w:val="CommentText"/>
    <w:uiPriority w:val="99"/>
    <w:semiHidden/>
    <w:rsid w:val="00585E2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5E2F"/>
    <w:rPr>
      <w:b/>
      <w:bCs/>
    </w:rPr>
  </w:style>
  <w:style w:type="character" w:customStyle="1" w:styleId="CommentSubjectChar">
    <w:name w:val="Comment Subject Char"/>
    <w:basedOn w:val="CommentTextChar"/>
    <w:link w:val="CommentSubject"/>
    <w:uiPriority w:val="99"/>
    <w:semiHidden/>
    <w:rsid w:val="00585E2F"/>
    <w:rPr>
      <w:rFonts w:ascii="Calibri" w:hAnsi="Calibri" w:cs="Calibri"/>
      <w:b/>
      <w:bCs/>
      <w:sz w:val="20"/>
      <w:szCs w:val="20"/>
    </w:rPr>
  </w:style>
  <w:style w:type="paragraph" w:styleId="BalloonText">
    <w:name w:val="Balloon Text"/>
    <w:basedOn w:val="Normal"/>
    <w:link w:val="BalloonTextChar"/>
    <w:uiPriority w:val="99"/>
    <w:semiHidden/>
    <w:unhideWhenUsed/>
    <w:rsid w:val="00585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E2F"/>
    <w:rPr>
      <w:rFonts w:ascii="Segoe UI" w:hAnsi="Segoe UI" w:cs="Segoe UI"/>
      <w:sz w:val="18"/>
      <w:szCs w:val="18"/>
    </w:rPr>
  </w:style>
  <w:style w:type="character" w:styleId="FollowedHyperlink">
    <w:name w:val="FollowedHyperlink"/>
    <w:basedOn w:val="DefaultParagraphFont"/>
    <w:uiPriority w:val="99"/>
    <w:semiHidden/>
    <w:unhideWhenUsed/>
    <w:rsid w:val="00585E2F"/>
    <w:rPr>
      <w:color w:val="954F72" w:themeColor="followedHyperlink"/>
      <w:u w:val="single"/>
    </w:rPr>
  </w:style>
  <w:style w:type="paragraph" w:customStyle="1" w:styleId="CommuniquPresse">
    <w:name w:val="Communiqué Presse"/>
    <w:qFormat/>
    <w:rsid w:val="002D1015"/>
    <w:pPr>
      <w:spacing w:after="0" w:line="480" w:lineRule="exact"/>
      <w:ind w:left="397"/>
      <w:jc w:val="center"/>
    </w:pPr>
    <w:rPr>
      <w:rFonts w:ascii="Arial Gras" w:eastAsiaTheme="majorEastAsia" w:hAnsi="Arial Gras" w:cstheme="majorBidi"/>
      <w:b/>
      <w:caps/>
      <w:color w:val="706E61"/>
      <w:spacing w:val="5"/>
      <w:kern w:val="28"/>
      <w:sz w:val="40"/>
      <w:szCs w:val="56"/>
      <w:lang w:val="fr-FR" w:eastAsia="fr-FR"/>
    </w:rPr>
  </w:style>
  <w:style w:type="paragraph" w:styleId="Header">
    <w:name w:val="header"/>
    <w:basedOn w:val="Normal"/>
    <w:link w:val="HeaderChar"/>
    <w:uiPriority w:val="99"/>
    <w:unhideWhenUsed/>
    <w:rsid w:val="002D1015"/>
    <w:pPr>
      <w:tabs>
        <w:tab w:val="center" w:pos="4536"/>
        <w:tab w:val="right" w:pos="9072"/>
      </w:tabs>
    </w:pPr>
  </w:style>
  <w:style w:type="character" w:customStyle="1" w:styleId="HeaderChar">
    <w:name w:val="Header Char"/>
    <w:basedOn w:val="DefaultParagraphFont"/>
    <w:link w:val="Header"/>
    <w:uiPriority w:val="99"/>
    <w:rsid w:val="002D1015"/>
    <w:rPr>
      <w:rFonts w:ascii="Calibri" w:hAnsi="Calibri" w:cs="Calibri"/>
    </w:rPr>
  </w:style>
  <w:style w:type="paragraph" w:styleId="Footer">
    <w:name w:val="footer"/>
    <w:basedOn w:val="Normal"/>
    <w:link w:val="FooterChar"/>
    <w:uiPriority w:val="99"/>
    <w:unhideWhenUsed/>
    <w:rsid w:val="002D1015"/>
    <w:pPr>
      <w:tabs>
        <w:tab w:val="center" w:pos="4536"/>
        <w:tab w:val="right" w:pos="9072"/>
      </w:tabs>
    </w:pPr>
  </w:style>
  <w:style w:type="character" w:customStyle="1" w:styleId="FooterChar">
    <w:name w:val="Footer Char"/>
    <w:basedOn w:val="DefaultParagraphFont"/>
    <w:link w:val="Footer"/>
    <w:uiPriority w:val="99"/>
    <w:rsid w:val="002D1015"/>
    <w:rPr>
      <w:rFonts w:ascii="Calibri" w:hAnsi="Calibri" w:cs="Calibri"/>
    </w:rPr>
  </w:style>
  <w:style w:type="table" w:styleId="TableGrid">
    <w:name w:val="Table Grid"/>
    <w:basedOn w:val="TableNormal"/>
    <w:uiPriority w:val="39"/>
    <w:rsid w:val="004A1F85"/>
    <w:pPr>
      <w:spacing w:after="0" w:line="240" w:lineRule="auto"/>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Titre">
    <w:name w:val="Coordonnées - Titre"/>
    <w:uiPriority w:val="5"/>
    <w:qFormat/>
    <w:rsid w:val="004A1F85"/>
    <w:pPr>
      <w:spacing w:after="0" w:line="240" w:lineRule="auto"/>
      <w:jc w:val="center"/>
    </w:pPr>
    <w:rPr>
      <w:rFonts w:ascii="Arial Gras" w:hAnsi="Arial Gras"/>
      <w:b/>
      <w:caps/>
      <w:color w:val="4472C4" w:themeColor="accent1"/>
      <w:spacing w:val="6"/>
      <w:sz w:val="16"/>
      <w:lang w:val="fr-FR" w:eastAsia="fr-FR"/>
    </w:rPr>
  </w:style>
  <w:style w:type="paragraph" w:customStyle="1" w:styleId="Coordonnes-Nom">
    <w:name w:val="Coordonnées - Nom"/>
    <w:next w:val="Coordonnes-texte"/>
    <w:uiPriority w:val="5"/>
    <w:qFormat/>
    <w:rsid w:val="004A1F85"/>
    <w:pPr>
      <w:spacing w:after="0" w:line="240" w:lineRule="auto"/>
      <w:ind w:left="113"/>
    </w:pPr>
    <w:rPr>
      <w:rFonts w:ascii="Arial Gras" w:hAnsi="Arial Gras"/>
      <w:b/>
      <w:color w:val="000000" w:themeColor="text1"/>
      <w:sz w:val="16"/>
      <w:lang w:val="fr-FR" w:eastAsia="fr-FR"/>
    </w:rPr>
  </w:style>
  <w:style w:type="paragraph" w:customStyle="1" w:styleId="Coordonnes-texte">
    <w:name w:val="Coordonnées - texte"/>
    <w:uiPriority w:val="5"/>
    <w:qFormat/>
    <w:rsid w:val="004A1F85"/>
    <w:pPr>
      <w:spacing w:after="0" w:line="240" w:lineRule="auto"/>
      <w:ind w:left="113"/>
    </w:pPr>
    <w:rPr>
      <w:rFonts w:ascii="Arial" w:hAnsi="Arial"/>
      <w:color w:val="000000" w:themeColor="text1"/>
      <w:sz w:val="16"/>
      <w:lang w:val="fr-FR" w:eastAsia="fr-FR"/>
    </w:rPr>
  </w:style>
  <w:style w:type="paragraph" w:styleId="NormalWeb">
    <w:name w:val="Normal (Web)"/>
    <w:basedOn w:val="Normal"/>
    <w:uiPriority w:val="99"/>
    <w:unhideWhenUsed/>
    <w:rsid w:val="004A1F85"/>
    <w:pPr>
      <w:spacing w:before="100" w:beforeAutospacing="1" w:after="100" w:afterAutospacing="1"/>
    </w:pPr>
    <w:rPr>
      <w:rFonts w:ascii="Times New Roman" w:eastAsia="Times New Roman" w:hAnsi="Times New Roman" w:cs="Times New Roman"/>
      <w:sz w:val="24"/>
      <w:szCs w:val="24"/>
      <w:lang w:val="fr-FR" w:eastAsia="fr-FR"/>
    </w:rPr>
  </w:style>
  <w:style w:type="paragraph" w:styleId="Revision">
    <w:name w:val="Revision"/>
    <w:hidden/>
    <w:uiPriority w:val="99"/>
    <w:semiHidden/>
    <w:rsid w:val="00DA5D4F"/>
    <w:pPr>
      <w:spacing w:after="0" w:line="240" w:lineRule="auto"/>
    </w:pPr>
    <w:rPr>
      <w:rFonts w:ascii="Calibri" w:hAnsi="Calibri" w:cs="Calibri"/>
    </w:rPr>
  </w:style>
  <w:style w:type="paragraph" w:styleId="ListBullet2">
    <w:name w:val="List Bullet 2"/>
    <w:basedOn w:val="Normal"/>
    <w:uiPriority w:val="99"/>
    <w:semiHidden/>
    <w:unhideWhenUsed/>
    <w:rsid w:val="00BA0ED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7701">
      <w:bodyDiv w:val="1"/>
      <w:marLeft w:val="0"/>
      <w:marRight w:val="0"/>
      <w:marTop w:val="0"/>
      <w:marBottom w:val="0"/>
      <w:divBdr>
        <w:top w:val="none" w:sz="0" w:space="0" w:color="auto"/>
        <w:left w:val="none" w:sz="0" w:space="0" w:color="auto"/>
        <w:bottom w:val="none" w:sz="0" w:space="0" w:color="auto"/>
        <w:right w:val="none" w:sz="0" w:space="0" w:color="auto"/>
      </w:divBdr>
    </w:div>
    <w:div w:id="490681969">
      <w:bodyDiv w:val="1"/>
      <w:marLeft w:val="0"/>
      <w:marRight w:val="0"/>
      <w:marTop w:val="0"/>
      <w:marBottom w:val="0"/>
      <w:divBdr>
        <w:top w:val="none" w:sz="0" w:space="0" w:color="auto"/>
        <w:left w:val="none" w:sz="0" w:space="0" w:color="auto"/>
        <w:bottom w:val="none" w:sz="0" w:space="0" w:color="auto"/>
        <w:right w:val="none" w:sz="0" w:space="0" w:color="auto"/>
      </w:divBdr>
    </w:div>
    <w:div w:id="891187239">
      <w:bodyDiv w:val="1"/>
      <w:marLeft w:val="0"/>
      <w:marRight w:val="0"/>
      <w:marTop w:val="0"/>
      <w:marBottom w:val="0"/>
      <w:divBdr>
        <w:top w:val="none" w:sz="0" w:space="0" w:color="auto"/>
        <w:left w:val="none" w:sz="0" w:space="0" w:color="auto"/>
        <w:bottom w:val="none" w:sz="0" w:space="0" w:color="auto"/>
        <w:right w:val="none" w:sz="0" w:space="0" w:color="auto"/>
      </w:divBdr>
    </w:div>
    <w:div w:id="20347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oup.bureauveritas.com/" TargetMode="External"/><Relationship Id="rId18" Type="http://schemas.openxmlformats.org/officeDocument/2006/relationships/hyperlink" Target="http://www.wiztrus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roup.bureauveritas.com/markets-services/cross-market-services/supply-chain-risk-management" TargetMode="External"/><Relationship Id="rId17" Type="http://schemas.openxmlformats.org/officeDocument/2006/relationships/hyperlink" Target="mailto:delphine.doungouss@bureauveritas.com" TargetMode="External"/><Relationship Id="rId2" Type="http://schemas.openxmlformats.org/officeDocument/2006/relationships/customXml" Target="../customXml/item2.xml"/><Relationship Id="rId16" Type="http://schemas.openxmlformats.org/officeDocument/2006/relationships/hyperlink" Target="https://www.she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ell.com/"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linkedin.com/company/bureau-veritas-group/mycompany/" TargetMode="External"/><Relationship Id="rId23" Type="http://schemas.microsoft.com/office/2016/09/relationships/commentsIds" Target="commentsIds.xml"/><Relationship Id="rId10" Type="http://schemas.openxmlformats.org/officeDocument/2006/relationships/hyperlink" Target="https://group.bureauveritas.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bureauverita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72E4C93EB9A4687A85BCA08BEBB28" ma:contentTypeVersion="12" ma:contentTypeDescription="Crée un document." ma:contentTypeScope="" ma:versionID="70624b8d4ad8182b3499a1a383ee24a0">
  <xsd:schema xmlns:xsd="http://www.w3.org/2001/XMLSchema" xmlns:xs="http://www.w3.org/2001/XMLSchema" xmlns:p="http://schemas.microsoft.com/office/2006/metadata/properties" xmlns:ns3="f3058cb4-dd28-40b7-9873-74867304ce07" xmlns:ns4="f451edd1-5d65-4c23-bb7d-a52591c6c7d2" targetNamespace="http://schemas.microsoft.com/office/2006/metadata/properties" ma:root="true" ma:fieldsID="06a77d9279e358c50437a99a880ea287" ns3:_="" ns4:_="">
    <xsd:import namespace="f3058cb4-dd28-40b7-9873-74867304ce07"/>
    <xsd:import namespace="f451edd1-5d65-4c23-bb7d-a52591c6c7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58cb4-dd28-40b7-9873-74867304ce0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1edd1-5d65-4c23-bb7d-a52591c6c7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64884-AE63-4698-A641-8F19F73D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58cb4-dd28-40b7-9873-74867304ce07"/>
    <ds:schemaRef ds:uri="f451edd1-5d65-4c23-bb7d-a52591c6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906D6-0876-4590-A584-52F616303F97}">
  <ds:schemaRefs>
    <ds:schemaRef ds:uri="http://schemas.microsoft.com/sharepoint/v3/contenttype/forms"/>
  </ds:schemaRefs>
</ds:datastoreItem>
</file>

<file path=customXml/itemProps3.xml><?xml version="1.0" encoding="utf-8"?>
<ds:datastoreItem xmlns:ds="http://schemas.openxmlformats.org/officeDocument/2006/customXml" ds:itemID="{F49782A3-2002-474B-B240-47CD2902E782}">
  <ds:schemaRef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f451edd1-5d65-4c23-bb7d-a52591c6c7d2"/>
    <ds:schemaRef ds:uri="f3058cb4-dd28-40b7-9873-74867304ce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5963</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Velzen, Thijs SI-ERIC/PT</dc:creator>
  <cp:keywords/>
  <dc:description/>
  <cp:lastModifiedBy>Shannon McCarthy</cp:lastModifiedBy>
  <cp:revision>2</cp:revision>
  <dcterms:created xsi:type="dcterms:W3CDTF">2021-05-04T17:51:00Z</dcterms:created>
  <dcterms:modified xsi:type="dcterms:W3CDTF">2021-05-04T17:51:00Z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0x010100BE472E4C93EB9A4687A85BCA08BEBB28</vt:lpwstr>
  </property>
</Properties>
</file>